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1759" w14:textId="77777777" w:rsidR="00580B3B" w:rsidRDefault="00580B3B" w:rsidP="00580B3B">
      <w:pPr>
        <w:spacing w:after="240"/>
        <w:jc w:val="center"/>
        <w:rPr>
          <w:rFonts w:cs="Calibri"/>
          <w:b/>
          <w:bCs/>
        </w:rPr>
      </w:pPr>
      <w:r w:rsidRPr="0059069F">
        <w:rPr>
          <w:rFonts w:cs="Calibri"/>
          <w:b/>
          <w:bCs/>
        </w:rPr>
        <w:t>Κανονισμός Ανώτατης Διάρκειας φοίτησης</w:t>
      </w:r>
    </w:p>
    <w:p w14:paraId="105D9597" w14:textId="4B9866B1" w:rsidR="00580B3B" w:rsidRPr="0059069F" w:rsidRDefault="00580B3B" w:rsidP="00580B3B">
      <w:pPr>
        <w:jc w:val="both"/>
        <w:rPr>
          <w:rFonts w:cs="Calibri"/>
        </w:rPr>
      </w:pPr>
      <w:r w:rsidRPr="0059069F">
        <w:rPr>
          <w:rFonts w:cs="Calibri"/>
        </w:rPr>
        <w:t>Στα ακόλουθα άρθρα καθορίζεται η ανώτατη διάρκεια φοίτησης σε προγράμματα σπουδών πρώτου κύκλου σύμφωνα με την κείμενη νομοθεσία</w:t>
      </w:r>
      <w:r w:rsidR="00B27FCD">
        <w:rPr>
          <w:rFonts w:cs="Calibri"/>
        </w:rPr>
        <w:t xml:space="preserve"> και με την </w:t>
      </w:r>
      <w:proofErr w:type="spellStart"/>
      <w:r w:rsidR="00B27FCD">
        <w:rPr>
          <w:rFonts w:cs="Calibri"/>
        </w:rPr>
        <w:t>αρ</w:t>
      </w:r>
      <w:proofErr w:type="spellEnd"/>
      <w:r w:rsidR="00B27FCD">
        <w:rPr>
          <w:rFonts w:cs="Calibri"/>
        </w:rPr>
        <w:t>. 1183/21.10.2025 συνεδρίαση της Συγκλήτου του Πανεπιστήμιου Ιωαννίνων</w:t>
      </w:r>
      <w:r w:rsidRPr="0059069F">
        <w:rPr>
          <w:rFonts w:cs="Calibri"/>
        </w:rPr>
        <w:t>. Ειδικότερα:</w:t>
      </w:r>
    </w:p>
    <w:p w14:paraId="5115CD39" w14:textId="77777777" w:rsidR="00580B3B" w:rsidRPr="0059069F" w:rsidRDefault="00580B3B" w:rsidP="00580B3B">
      <w:pPr>
        <w:jc w:val="both"/>
        <w:rPr>
          <w:rFonts w:cs="Calibri"/>
        </w:rPr>
      </w:pPr>
    </w:p>
    <w:p w14:paraId="4C6EDFA5" w14:textId="77777777" w:rsidR="00580B3B" w:rsidRPr="0059069F" w:rsidRDefault="00580B3B" w:rsidP="00580B3B">
      <w:pPr>
        <w:spacing w:after="240"/>
        <w:jc w:val="center"/>
        <w:rPr>
          <w:rFonts w:cs="Calibri"/>
          <w:b/>
          <w:bCs/>
        </w:rPr>
      </w:pPr>
      <w:r w:rsidRPr="0059069F">
        <w:rPr>
          <w:rFonts w:cs="Calibri"/>
          <w:b/>
          <w:bCs/>
        </w:rPr>
        <w:t>Άρθρο 1</w:t>
      </w:r>
    </w:p>
    <w:p w14:paraId="02F4C1C8" w14:textId="44CCBC91" w:rsidR="00C55360" w:rsidRPr="0059069F" w:rsidRDefault="00580B3B" w:rsidP="00C55360">
      <w:pPr>
        <w:pStyle w:val="Web"/>
        <w:shd w:val="clear" w:color="auto" w:fill="FFFFFF"/>
        <w:jc w:val="both"/>
        <w:rPr>
          <w:rFonts w:asciiTheme="minorHAnsi" w:hAnsiTheme="minorHAnsi" w:cstheme="minorHAnsi"/>
        </w:rPr>
      </w:pPr>
      <w:r w:rsidRPr="0059069F">
        <w:rPr>
          <w:rFonts w:asciiTheme="minorHAnsi" w:hAnsiTheme="minorHAnsi" w:cstheme="minorHAnsi"/>
        </w:rPr>
        <w:t>Σύμφωνα με την παρ. 1 του άρθρου 76  του ν. 4957/2022 όπως τροποποιήθηκε και ισχύει με τις διατάξεις των παρ. 1, 2, 3, 4 του άρθρου 130 του ν. 5224/2025</w:t>
      </w:r>
      <w:r w:rsidR="00F3550E" w:rsidRPr="0059069F">
        <w:rPr>
          <w:rFonts w:asciiTheme="minorHAnsi" w:hAnsiTheme="minorHAnsi" w:cstheme="minorHAnsi"/>
        </w:rPr>
        <w:t xml:space="preserve">, </w:t>
      </w:r>
      <w:r w:rsidRPr="0059069F">
        <w:rPr>
          <w:rFonts w:asciiTheme="minorHAnsi" w:hAnsiTheme="minorHAnsi" w:cstheme="minorHAnsi"/>
        </w:rPr>
        <w:t xml:space="preserve">της εγκυκλίου με αρ. πρωτ. 118904/Ζ1/24-9-2025 </w:t>
      </w:r>
      <w:r w:rsidR="00F3550E" w:rsidRPr="0059069F">
        <w:rPr>
          <w:rFonts w:asciiTheme="minorHAnsi" w:hAnsiTheme="minorHAnsi" w:cstheme="minorHAnsi"/>
        </w:rPr>
        <w:t xml:space="preserve">και της απόφασης με αρ. πρωτ. 118901/Ζ1 (ΦΕΚ 5629/20-10-2025) </w:t>
      </w:r>
      <w:r w:rsidRPr="0059069F">
        <w:rPr>
          <w:rFonts w:asciiTheme="minorHAnsi" w:hAnsiTheme="minorHAnsi" w:cstheme="minorHAnsi"/>
        </w:rPr>
        <w:t xml:space="preserve">του Υπουργείου Παιδείας, Θρησκευμάτων και Αθλητισμού, η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Σε πρόγραμμα σπουδών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w:t>
      </w:r>
      <w:r w:rsidR="00C55360" w:rsidRPr="0059069F">
        <w:rPr>
          <w:rFonts w:asciiTheme="minorHAnsi" w:hAnsiTheme="minorHAnsi" w:cstheme="minorHAnsi"/>
        </w:rPr>
        <w:t>Ειδικότερα, για προγράμματα σπουδών τετραετούς φοίτησης, η ανώτατη διάρκεια φοίτησης είναι έξι (6) ακαδημαϊκά έτη, για προγράμματα σπουδών πενταετούς διάρκειας, η ανώτατη διάρκεια φοίτηση</w:t>
      </w:r>
      <w:r w:rsidR="00A12912" w:rsidRPr="0059069F">
        <w:rPr>
          <w:rFonts w:asciiTheme="minorHAnsi" w:hAnsiTheme="minorHAnsi" w:cstheme="minorHAnsi"/>
        </w:rPr>
        <w:t>ς είναι</w:t>
      </w:r>
      <w:r w:rsidR="00C55360" w:rsidRPr="0059069F">
        <w:rPr>
          <w:rFonts w:asciiTheme="minorHAnsi" w:hAnsiTheme="minorHAnsi" w:cstheme="minorHAnsi"/>
        </w:rPr>
        <w:t xml:space="preserve"> οκτώ (8) ακαδημαϊκά έτη και για προγράμματα σπουδών εξαετούς φοίτησης, η ανώτατη διάρκεια φοίτησης είναι εννέα (9) ακαδημαϊκά έτη.</w:t>
      </w:r>
      <w:r w:rsidR="00A12912" w:rsidRPr="0059069F">
        <w:rPr>
          <w:rFonts w:asciiTheme="minorHAnsi" w:hAnsiTheme="minorHAnsi" w:cstheme="minorHAnsi"/>
        </w:rPr>
        <w:t xml:space="preserve"> Η ανώτατη διάρκεια φοίτησης, όπως αυτή ορίζεται στο </w:t>
      </w:r>
      <w:proofErr w:type="spellStart"/>
      <w:r w:rsidR="00A12912" w:rsidRPr="0059069F">
        <w:rPr>
          <w:rFonts w:asciiTheme="minorHAnsi" w:hAnsiTheme="minorHAnsi" w:cstheme="minorHAnsi"/>
        </w:rPr>
        <w:t>προηγούμενο</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εδάφιο</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εφαρμόζεται</w:t>
      </w:r>
      <w:proofErr w:type="spellEnd"/>
      <w:r w:rsidR="00A12912" w:rsidRPr="0059069F">
        <w:rPr>
          <w:rFonts w:asciiTheme="minorHAnsi" w:hAnsiTheme="minorHAnsi" w:cstheme="minorHAnsi"/>
        </w:rPr>
        <w:t xml:space="preserve"> για </w:t>
      </w:r>
      <w:proofErr w:type="spellStart"/>
      <w:r w:rsidR="00A12912" w:rsidRPr="0059069F">
        <w:rPr>
          <w:rFonts w:asciiTheme="minorHAnsi" w:hAnsiTheme="minorHAnsi" w:cstheme="minorHAnsi"/>
        </w:rPr>
        <w:t>φοιτητές</w:t>
      </w:r>
      <w:proofErr w:type="spellEnd"/>
      <w:r w:rsidR="00A12912" w:rsidRPr="0059069F">
        <w:rPr>
          <w:rFonts w:asciiTheme="minorHAnsi" w:hAnsiTheme="minorHAnsi" w:cstheme="minorHAnsi"/>
        </w:rPr>
        <w:t>/</w:t>
      </w:r>
      <w:proofErr w:type="spellStart"/>
      <w:r w:rsidR="00A12912" w:rsidRPr="0059069F">
        <w:rPr>
          <w:rFonts w:asciiTheme="minorHAnsi" w:hAnsiTheme="minorHAnsi" w:cstheme="minorHAnsi"/>
        </w:rPr>
        <w:t>τριες</w:t>
      </w:r>
      <w:proofErr w:type="spellEnd"/>
      <w:r w:rsidR="00A12912" w:rsidRPr="0059069F">
        <w:rPr>
          <w:rFonts w:asciiTheme="minorHAnsi" w:hAnsiTheme="minorHAnsi" w:cstheme="minorHAnsi"/>
        </w:rPr>
        <w:t xml:space="preserve"> που </w:t>
      </w:r>
      <w:proofErr w:type="spellStart"/>
      <w:r w:rsidR="00A12912" w:rsidRPr="0059069F">
        <w:rPr>
          <w:rFonts w:asciiTheme="minorHAnsi" w:hAnsiTheme="minorHAnsi" w:cstheme="minorHAnsi"/>
        </w:rPr>
        <w:t>εγγράφονται</w:t>
      </w:r>
      <w:proofErr w:type="spellEnd"/>
      <w:r w:rsidR="00A12912" w:rsidRPr="0059069F">
        <w:rPr>
          <w:rFonts w:asciiTheme="minorHAnsi" w:hAnsiTheme="minorHAnsi" w:cstheme="minorHAnsi"/>
        </w:rPr>
        <w:t xml:space="preserve"> σε </w:t>
      </w:r>
      <w:proofErr w:type="spellStart"/>
      <w:r w:rsidR="00A12912" w:rsidRPr="0059069F">
        <w:rPr>
          <w:rFonts w:asciiTheme="minorHAnsi" w:hAnsiTheme="minorHAnsi" w:cstheme="minorHAnsi"/>
        </w:rPr>
        <w:t>προγράμματα</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σπουδών</w:t>
      </w:r>
      <w:proofErr w:type="spellEnd"/>
      <w:r w:rsidR="00A12912" w:rsidRPr="0059069F">
        <w:rPr>
          <w:rFonts w:asciiTheme="minorHAnsi" w:hAnsiTheme="minorHAnsi" w:cstheme="minorHAnsi"/>
        </w:rPr>
        <w:t xml:space="preserve"> α’ κύκλου από το ακαδημαϊκό έτος 2022-2023 και εξής (βλ. Άρθρο </w:t>
      </w:r>
      <w:r w:rsidR="005E4150" w:rsidRPr="0059069F">
        <w:rPr>
          <w:rFonts w:asciiTheme="minorHAnsi" w:hAnsiTheme="minorHAnsi" w:cstheme="minorHAnsi"/>
        </w:rPr>
        <w:t>2</w:t>
      </w:r>
      <w:r w:rsidR="00A12912" w:rsidRPr="0059069F">
        <w:rPr>
          <w:rFonts w:asciiTheme="minorHAnsi" w:hAnsiTheme="minorHAnsi" w:cstheme="minorHAnsi"/>
        </w:rPr>
        <w:t xml:space="preserve"> για μεταβατικές διατάξεις). </w:t>
      </w:r>
    </w:p>
    <w:p w14:paraId="548691E9" w14:textId="155F4FE3" w:rsidR="00580B3B" w:rsidRPr="0059069F" w:rsidRDefault="00580B3B" w:rsidP="00580B3B">
      <w:pPr>
        <w:jc w:val="both"/>
        <w:rPr>
          <w:rFonts w:cs="Calibri"/>
        </w:rPr>
      </w:pPr>
      <w:r w:rsidRPr="0059069F">
        <w:rPr>
          <w:rFonts w:cs="Calibri"/>
        </w:rPr>
        <w:t>Μετά το πέρας της ανώτατης διάρκειας φοίτησης, και αφού ολοκληρωθεί η επαναληπτική εξεταστική περίοδος του Σεπτεμβρίου του τελευταίου ακαδημαϊκού έτους</w:t>
      </w:r>
      <w:r w:rsidR="00A12912" w:rsidRPr="0059069F">
        <w:rPr>
          <w:rFonts w:cs="Calibri"/>
        </w:rPr>
        <w:t xml:space="preserve"> φοίτησης</w:t>
      </w:r>
      <w:r w:rsidRPr="0059069F">
        <w:rPr>
          <w:rFonts w:cs="Calibri"/>
        </w:rPr>
        <w:t>, με επιφύλαξη των διατάξεων των παραγράφων 2-5 του άρθρου 76 του ν. 4957/2022 όπως τροποποιήθηκαν και ισχύουν με τις παραγράφους 2-9 του άρθρου 130  του ν. 5224/2025, για φοιτητές/</w:t>
      </w:r>
      <w:proofErr w:type="spellStart"/>
      <w:r w:rsidRPr="0059069F">
        <w:rPr>
          <w:rFonts w:cs="Calibri"/>
        </w:rPr>
        <w:t>τριες</w:t>
      </w:r>
      <w:proofErr w:type="spellEnd"/>
      <w:r w:rsidRPr="0059069F">
        <w:rPr>
          <w:rFonts w:cs="Calibri"/>
        </w:rPr>
        <w:t xml:space="preserve"> που συμπληρώνουν την ανώτατη διάρκεια φοίτησης και δεν έχουν καταστεί πτυχιούχοι επέρχεται αυτοδικαίως η διαγραφή από το Τμήμα ή τη </w:t>
      </w:r>
      <w:proofErr w:type="spellStart"/>
      <w:r w:rsidRPr="0059069F">
        <w:rPr>
          <w:rFonts w:cs="Calibri"/>
        </w:rPr>
        <w:t>Μονοτμηματική</w:t>
      </w:r>
      <w:proofErr w:type="spellEnd"/>
      <w:r w:rsidRPr="0059069F">
        <w:rPr>
          <w:rFonts w:cs="Calibri"/>
        </w:rPr>
        <w:t xml:space="preserve"> Σχολή του Πανεπιστημίου Ιωαννίνων δύο (2) μήνες μετά την ανάρτηση των αποτελεσμάτων της επαναληπτικής εξεταστικής του Σεπτεμβρίου. </w:t>
      </w:r>
    </w:p>
    <w:p w14:paraId="499870BC" w14:textId="77777777" w:rsidR="00580B3B" w:rsidRPr="0059069F" w:rsidRDefault="00580B3B" w:rsidP="00580B3B">
      <w:pPr>
        <w:jc w:val="both"/>
        <w:rPr>
          <w:rFonts w:cs="Calibri"/>
        </w:rPr>
      </w:pPr>
    </w:p>
    <w:p w14:paraId="7829B502" w14:textId="77777777" w:rsidR="00580B3B" w:rsidRPr="0059069F" w:rsidRDefault="00580B3B" w:rsidP="00580B3B">
      <w:pPr>
        <w:jc w:val="both"/>
        <w:rPr>
          <w:rFonts w:cs="Calibri"/>
        </w:rPr>
      </w:pPr>
      <w:r w:rsidRPr="0059069F">
        <w:rPr>
          <w:rFonts w:cs="Calibri"/>
        </w:rPr>
        <w:t>Φοιτητές/</w:t>
      </w:r>
      <w:proofErr w:type="spellStart"/>
      <w:r w:rsidRPr="0059069F">
        <w:rPr>
          <w:rFonts w:cs="Calibri"/>
        </w:rPr>
        <w:t>τριες</w:t>
      </w:r>
      <w:proofErr w:type="spellEnd"/>
      <w:r w:rsidRPr="0059069F">
        <w:rPr>
          <w:rFonts w:cs="Calibri"/>
        </w:rPr>
        <w:t xml:space="preserve">, που διαγράφονται με την ανωτέρω διαδικασία, δύνανται, με την αίτησή τους, να λάβουν από τη Γραμματεία του Τμήματος ή της </w:t>
      </w:r>
      <w:proofErr w:type="spellStart"/>
      <w:r w:rsidRPr="0059069F">
        <w:rPr>
          <w:rFonts w:cs="Calibri"/>
        </w:rPr>
        <w:t>Μονοτμηματικής</w:t>
      </w:r>
      <w:proofErr w:type="spellEnd"/>
      <w:r w:rsidRPr="0059069F">
        <w:rPr>
          <w:rFonts w:cs="Calibri"/>
        </w:rPr>
        <w:t xml:space="preserve"> Σχολής,  πιστοποιητικό, στο οποίο αναγράφονται υποχρεωτικά:</w:t>
      </w:r>
    </w:p>
    <w:p w14:paraId="73121053" w14:textId="7D6A88A9" w:rsidR="00580B3B" w:rsidRPr="0059069F" w:rsidRDefault="00580B3B" w:rsidP="00580B3B">
      <w:pPr>
        <w:jc w:val="both"/>
        <w:rPr>
          <w:rFonts w:cs="Calibri"/>
        </w:rPr>
      </w:pPr>
      <w:r w:rsidRPr="0059069F">
        <w:rPr>
          <w:rFonts w:cs="Calibri"/>
        </w:rPr>
        <w:t xml:space="preserve">α) το </w:t>
      </w:r>
      <w:r w:rsidR="00A12912" w:rsidRPr="0059069F">
        <w:rPr>
          <w:rFonts w:cs="Calibri"/>
        </w:rPr>
        <w:t xml:space="preserve">ακαδημαϊκό </w:t>
      </w:r>
      <w:r w:rsidRPr="0059069F">
        <w:rPr>
          <w:rFonts w:cs="Calibri"/>
        </w:rPr>
        <w:t>έτος εγγραφής,</w:t>
      </w:r>
    </w:p>
    <w:p w14:paraId="17093112" w14:textId="7EA352C2" w:rsidR="00580B3B" w:rsidRPr="0059069F" w:rsidRDefault="00580B3B" w:rsidP="00580B3B">
      <w:pPr>
        <w:jc w:val="both"/>
        <w:rPr>
          <w:rFonts w:cs="Calibri"/>
        </w:rPr>
      </w:pPr>
      <w:r w:rsidRPr="0059069F">
        <w:rPr>
          <w:rFonts w:cs="Calibri"/>
        </w:rPr>
        <w:t>β) η ημερομηνία συμπλήρωσης της ανώτατης χρονικής διάρκειας</w:t>
      </w:r>
      <w:r w:rsidR="00A12912" w:rsidRPr="0059069F">
        <w:rPr>
          <w:rFonts w:cs="Calibri"/>
        </w:rPr>
        <w:t xml:space="preserve"> φοίτησης</w:t>
      </w:r>
      <w:r w:rsidRPr="0059069F">
        <w:rPr>
          <w:rFonts w:cs="Calibri"/>
        </w:rPr>
        <w:t>,</w:t>
      </w:r>
    </w:p>
    <w:p w14:paraId="56AC4F30" w14:textId="77777777" w:rsidR="00580B3B" w:rsidRPr="0059069F" w:rsidRDefault="00580B3B" w:rsidP="00580B3B">
      <w:pPr>
        <w:jc w:val="both"/>
        <w:rPr>
          <w:rFonts w:cs="Calibri"/>
        </w:rPr>
      </w:pPr>
      <w:r w:rsidRPr="0059069F">
        <w:rPr>
          <w:rFonts w:cs="Calibri"/>
        </w:rPr>
        <w:t>γ) τα μαθήματα και οι λοιπές εκπαιδευτικές δραστηριότητες στις οποίες έχει αξιολογηθεί επιτυχώς ο φοιτητής σύμφωνα με το ισχύον πρόγραμμα σπουδών,</w:t>
      </w:r>
    </w:p>
    <w:p w14:paraId="2B66C180" w14:textId="1F6A489B" w:rsidR="00580B3B" w:rsidRPr="0059069F" w:rsidRDefault="00580B3B" w:rsidP="00580B3B">
      <w:pPr>
        <w:jc w:val="both"/>
        <w:rPr>
          <w:rFonts w:cs="Calibri"/>
        </w:rPr>
      </w:pPr>
      <w:r w:rsidRPr="0059069F">
        <w:rPr>
          <w:rFonts w:cs="Calibri"/>
        </w:rPr>
        <w:t>δ) η βαθμολογία που έχει λάβει ο</w:t>
      </w:r>
      <w:r w:rsidR="008115B9" w:rsidRPr="0059069F">
        <w:rPr>
          <w:rFonts w:cs="Calibri"/>
        </w:rPr>
        <w:t xml:space="preserve">/η </w:t>
      </w:r>
      <w:r w:rsidRPr="0059069F">
        <w:rPr>
          <w:rFonts w:cs="Calibri"/>
        </w:rPr>
        <w:t xml:space="preserve"> φοιτητής</w:t>
      </w:r>
      <w:r w:rsidR="008115B9" w:rsidRPr="0059069F">
        <w:rPr>
          <w:rFonts w:cs="Calibri"/>
        </w:rPr>
        <w:t>/</w:t>
      </w:r>
      <w:proofErr w:type="spellStart"/>
      <w:r w:rsidR="008115B9" w:rsidRPr="0059069F">
        <w:rPr>
          <w:rFonts w:cs="Calibri"/>
        </w:rPr>
        <w:t>τρια</w:t>
      </w:r>
      <w:proofErr w:type="spellEnd"/>
      <w:r w:rsidRPr="0059069F">
        <w:rPr>
          <w:rFonts w:cs="Calibri"/>
        </w:rPr>
        <w:t xml:space="preserve"> ανά μάθημα ή άλλη εκπαιδευτική δραστηριότητα στην οποία έχει αξιολογηθεί επιτυχώς και</w:t>
      </w:r>
    </w:p>
    <w:p w14:paraId="00F8AA8C" w14:textId="77777777" w:rsidR="00A12912" w:rsidRPr="0059069F" w:rsidRDefault="00580B3B" w:rsidP="00A12912">
      <w:pPr>
        <w:spacing w:line="240" w:lineRule="auto"/>
        <w:jc w:val="both"/>
        <w:rPr>
          <w:rFonts w:cs="Calibri"/>
        </w:rPr>
      </w:pPr>
      <w:r w:rsidRPr="0059069F">
        <w:rPr>
          <w:rFonts w:cs="Calibri"/>
        </w:rPr>
        <w:t>ε) ο συνολικός αριθμός διδακτικών ή πιστωτικών μονάδων (</w:t>
      </w:r>
      <w:r w:rsidRPr="0059069F">
        <w:rPr>
          <w:rFonts w:cs="Calibri"/>
          <w:lang w:val="en-US"/>
        </w:rPr>
        <w:t>ECTS</w:t>
      </w:r>
      <w:r w:rsidRPr="0059069F">
        <w:rPr>
          <w:rFonts w:cs="Calibri"/>
        </w:rPr>
        <w:t>) που έχει συγκεντρώσει.</w:t>
      </w:r>
    </w:p>
    <w:p w14:paraId="23C726EC" w14:textId="49D45E29" w:rsidR="00580B3B" w:rsidRPr="0059069F" w:rsidRDefault="00580B3B" w:rsidP="00A12912">
      <w:pPr>
        <w:spacing w:line="240" w:lineRule="auto"/>
        <w:jc w:val="both"/>
        <w:rPr>
          <w:rFonts w:asciiTheme="minorHAnsi" w:hAnsiTheme="minorHAnsi" w:cstheme="minorHAnsi"/>
        </w:rPr>
      </w:pPr>
      <w:r w:rsidRPr="0059069F">
        <w:rPr>
          <w:rFonts w:asciiTheme="minorHAnsi" w:hAnsiTheme="minorHAnsi" w:cstheme="minorHAnsi"/>
        </w:rPr>
        <w:t>Το πιστοποιητικό εκδίδεται για κάθε νόμιμη χρήση και δεν συνιστά τίτλο σπουδών ή πιστοποιητικό περάτωσης σπουδών. Το πιστοποιητικό δύναται να χρησιμοποιηθεί όπου προβλέπεται η εφαρμογή ευρωπαϊκού συστήματος μεταφοράς και συσσώρευσης πιστωτικών μονάδων (</w:t>
      </w:r>
      <w:r w:rsidRPr="0059069F">
        <w:rPr>
          <w:rFonts w:asciiTheme="minorHAnsi" w:hAnsiTheme="minorHAnsi" w:cstheme="minorHAnsi"/>
          <w:lang w:val="en-US"/>
        </w:rPr>
        <w:t>ECTS</w:t>
      </w:r>
      <w:r w:rsidRPr="0059069F">
        <w:rPr>
          <w:rFonts w:asciiTheme="minorHAnsi" w:hAnsiTheme="minorHAnsi" w:cstheme="minorHAnsi"/>
        </w:rPr>
        <w:t>)</w:t>
      </w:r>
      <w:r w:rsidR="00A12912" w:rsidRPr="0059069F">
        <w:rPr>
          <w:rFonts w:asciiTheme="minorHAnsi" w:hAnsiTheme="minorHAnsi" w:cstheme="minorHAnsi"/>
        </w:rPr>
        <w:t xml:space="preserve"> καθώς και για τη συμμετοχή σε κατατακτήριες εξετάσεις Τμήματος ή </w:t>
      </w:r>
      <w:proofErr w:type="spellStart"/>
      <w:r w:rsidR="00A12912" w:rsidRPr="0059069F">
        <w:rPr>
          <w:rFonts w:asciiTheme="minorHAnsi" w:hAnsiTheme="minorHAnsi" w:cstheme="minorHAnsi"/>
        </w:rPr>
        <w:t>Μονοτμηματικής</w:t>
      </w:r>
      <w:proofErr w:type="spellEnd"/>
      <w:r w:rsidR="00A12912" w:rsidRPr="0059069F">
        <w:rPr>
          <w:rFonts w:asciiTheme="minorHAnsi" w:hAnsiTheme="minorHAnsi" w:cstheme="minorHAnsi"/>
        </w:rPr>
        <w:t xml:space="preserve"> Σχολής Α.Ε.Ι., διαφορετικής </w:t>
      </w:r>
      <w:r w:rsidR="00A12912" w:rsidRPr="0059069F">
        <w:rPr>
          <w:rFonts w:asciiTheme="minorHAnsi" w:hAnsiTheme="minorHAnsi" w:cstheme="minorHAnsi"/>
        </w:rPr>
        <w:lastRenderedPageBreak/>
        <w:t xml:space="preserve">από́ αυτή́ που </w:t>
      </w:r>
      <w:proofErr w:type="spellStart"/>
      <w:r w:rsidR="00A12912" w:rsidRPr="0059069F">
        <w:rPr>
          <w:rFonts w:asciiTheme="minorHAnsi" w:hAnsiTheme="minorHAnsi" w:cstheme="minorHAnsi"/>
        </w:rPr>
        <w:t>διεγράφη</w:t>
      </w:r>
      <w:proofErr w:type="spellEnd"/>
      <w:r w:rsidR="00A12912" w:rsidRPr="0059069F">
        <w:rPr>
          <w:rFonts w:asciiTheme="minorHAnsi" w:hAnsiTheme="minorHAnsi" w:cstheme="minorHAnsi"/>
        </w:rPr>
        <w:t xml:space="preserve"> ο</w:t>
      </w:r>
      <w:r w:rsidR="006D73D4" w:rsidRPr="0059069F">
        <w:rPr>
          <w:rFonts w:asciiTheme="minorHAnsi" w:hAnsiTheme="minorHAnsi" w:cstheme="minorHAnsi"/>
        </w:rPr>
        <w:t>/η</w:t>
      </w:r>
      <w:r w:rsidR="00A12912" w:rsidRPr="0059069F">
        <w:rPr>
          <w:rFonts w:asciiTheme="minorHAnsi" w:hAnsiTheme="minorHAnsi" w:cstheme="minorHAnsi"/>
        </w:rPr>
        <w:t xml:space="preserve"> φοιτητής</w:t>
      </w:r>
      <w:r w:rsidR="006D73D4" w:rsidRPr="0059069F">
        <w:rPr>
          <w:rFonts w:asciiTheme="minorHAnsi" w:hAnsiTheme="minorHAnsi" w:cstheme="minorHAnsi"/>
        </w:rPr>
        <w:t>/</w:t>
      </w:r>
      <w:proofErr w:type="spellStart"/>
      <w:r w:rsidR="006D73D4" w:rsidRPr="0059069F">
        <w:rPr>
          <w:rFonts w:asciiTheme="minorHAnsi" w:hAnsiTheme="minorHAnsi" w:cstheme="minorHAnsi"/>
        </w:rPr>
        <w:t>τρια</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εφόσον</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έχει</w:t>
      </w:r>
      <w:proofErr w:type="spellEnd"/>
      <w:r w:rsidR="00A12912" w:rsidRPr="0059069F">
        <w:rPr>
          <w:rFonts w:asciiTheme="minorHAnsi" w:hAnsiTheme="minorHAnsi" w:cstheme="minorHAnsi"/>
        </w:rPr>
        <w:t xml:space="preserve"> συγκεντρώσει </w:t>
      </w:r>
      <w:proofErr w:type="spellStart"/>
      <w:r w:rsidR="00A12912" w:rsidRPr="0059069F">
        <w:rPr>
          <w:rFonts w:asciiTheme="minorHAnsi" w:hAnsiTheme="minorHAnsi" w:cstheme="minorHAnsi"/>
        </w:rPr>
        <w:t>τουλάχιστον</w:t>
      </w:r>
      <w:proofErr w:type="spellEnd"/>
      <w:r w:rsidR="00A12912" w:rsidRPr="0059069F">
        <w:rPr>
          <w:rFonts w:asciiTheme="minorHAnsi" w:hAnsiTheme="minorHAnsi" w:cstheme="minorHAnsi"/>
        </w:rPr>
        <w:t xml:space="preserve"> </w:t>
      </w:r>
      <w:proofErr w:type="spellStart"/>
      <w:r w:rsidR="00A12912" w:rsidRPr="0059069F">
        <w:rPr>
          <w:rFonts w:asciiTheme="minorHAnsi" w:hAnsiTheme="minorHAnsi" w:cstheme="minorHAnsi"/>
        </w:rPr>
        <w:t>εκατόν</w:t>
      </w:r>
      <w:proofErr w:type="spellEnd"/>
      <w:r w:rsidR="00A12912" w:rsidRPr="0059069F">
        <w:rPr>
          <w:rFonts w:asciiTheme="minorHAnsi" w:hAnsiTheme="minorHAnsi" w:cstheme="minorHAnsi"/>
        </w:rPr>
        <w:t xml:space="preserve"> είκοσι (120) πιστωτικές μονάδες και το Τμήμα ή η </w:t>
      </w:r>
      <w:proofErr w:type="spellStart"/>
      <w:r w:rsidR="00A12912" w:rsidRPr="0059069F">
        <w:rPr>
          <w:rFonts w:asciiTheme="minorHAnsi" w:hAnsiTheme="minorHAnsi" w:cstheme="minorHAnsi"/>
        </w:rPr>
        <w:t>Μονοτμηματική</w:t>
      </w:r>
      <w:proofErr w:type="spellEnd"/>
      <w:r w:rsidR="00A12912" w:rsidRPr="0059069F">
        <w:rPr>
          <w:rFonts w:asciiTheme="minorHAnsi" w:hAnsiTheme="minorHAnsi" w:cstheme="minorHAnsi"/>
        </w:rPr>
        <w:t xml:space="preserve"> Σχολή́ επιτρέπει τη συμμετοχή αυτής της κατηγορίας υποψηφίων.</w:t>
      </w:r>
    </w:p>
    <w:p w14:paraId="12D0D073" w14:textId="6FD995F4" w:rsidR="005E4150" w:rsidRPr="0059069F" w:rsidRDefault="005E4150" w:rsidP="00A12912">
      <w:pPr>
        <w:spacing w:line="240" w:lineRule="auto"/>
        <w:jc w:val="both"/>
        <w:rPr>
          <w:rFonts w:asciiTheme="minorHAnsi" w:hAnsiTheme="minorHAnsi" w:cstheme="minorHAnsi"/>
        </w:rPr>
      </w:pPr>
    </w:p>
    <w:p w14:paraId="7662C8DA" w14:textId="02A1E926" w:rsidR="005E4150" w:rsidRPr="0059069F" w:rsidRDefault="005E4150" w:rsidP="005E4150">
      <w:pPr>
        <w:tabs>
          <w:tab w:val="left" w:pos="1248"/>
          <w:tab w:val="center" w:pos="4873"/>
        </w:tabs>
        <w:spacing w:after="240"/>
        <w:rPr>
          <w:rFonts w:cs="Calibri"/>
          <w:b/>
          <w:bCs/>
        </w:rPr>
      </w:pPr>
      <w:r w:rsidRPr="0059069F">
        <w:rPr>
          <w:rFonts w:cs="Calibri"/>
          <w:b/>
          <w:bCs/>
        </w:rPr>
        <w:tab/>
      </w:r>
      <w:r w:rsidRPr="0059069F">
        <w:rPr>
          <w:rFonts w:cs="Calibri"/>
          <w:b/>
          <w:bCs/>
        </w:rPr>
        <w:tab/>
        <w:t>Άρθρο 2</w:t>
      </w:r>
    </w:p>
    <w:p w14:paraId="46C04D2E" w14:textId="00FE7914" w:rsidR="005E4150" w:rsidRPr="0059069F" w:rsidRDefault="005E4150" w:rsidP="005E4150">
      <w:pPr>
        <w:spacing w:after="240"/>
        <w:jc w:val="both"/>
        <w:rPr>
          <w:rFonts w:cs="Calibri"/>
        </w:rPr>
      </w:pPr>
      <w:r w:rsidRPr="0059069F">
        <w:rPr>
          <w:rFonts w:cs="Calibri"/>
        </w:rPr>
        <w:t>Σύμφωνα με τις μεταβατικές διατάξεις της παρ. 3 του άρθρου 454 του ν. 4957/2022, όπως τροποποιήθηκε και ισχύει με τις διατάξεις του άρθρου 153 του  ν. 5224/2025:</w:t>
      </w:r>
    </w:p>
    <w:p w14:paraId="5A5DAC76" w14:textId="77777777" w:rsidR="005E4150" w:rsidRPr="0059069F" w:rsidRDefault="005E4150" w:rsidP="005E4150">
      <w:pPr>
        <w:pStyle w:val="a4"/>
        <w:numPr>
          <w:ilvl w:val="0"/>
          <w:numId w:val="2"/>
        </w:numPr>
        <w:spacing w:after="0" w:line="240" w:lineRule="auto"/>
        <w:jc w:val="both"/>
        <w:rPr>
          <w:sz w:val="24"/>
          <w:szCs w:val="24"/>
        </w:rPr>
      </w:pPr>
      <w:r w:rsidRPr="0059069F">
        <w:rPr>
          <w:sz w:val="24"/>
          <w:szCs w:val="24"/>
        </w:rPr>
        <w:t>Η ανώτατη διάρκεια σπουδών όπως ορίζεται στην παρ. 1 του άρθρου 76 του ν. 4957/2022, όπως τροποποιήθηκε και ισχύει με τις διατάξεις της παρ. 1 του άρθρου 130 του ν. 5224/2025 και στο άρθρο 1 του παρόντος, καταλαμβάνει τους/τις φοιτητές/</w:t>
      </w:r>
      <w:proofErr w:type="spellStart"/>
      <w:r w:rsidRPr="0059069F">
        <w:rPr>
          <w:sz w:val="24"/>
          <w:szCs w:val="24"/>
        </w:rPr>
        <w:t>τριες</w:t>
      </w:r>
      <w:proofErr w:type="spellEnd"/>
      <w:r w:rsidRPr="0059069F">
        <w:rPr>
          <w:sz w:val="24"/>
          <w:szCs w:val="24"/>
        </w:rPr>
        <w:t xml:space="preserve"> που εισάγονται στα Α.Ε.Ι. από το ακαδημαϊκό έτος 2022-2023 και εξής. </w:t>
      </w:r>
    </w:p>
    <w:p w14:paraId="56AE0109" w14:textId="67B794EB" w:rsidR="005E4150" w:rsidRPr="0059069F" w:rsidRDefault="005E4150" w:rsidP="005E4150">
      <w:pPr>
        <w:pStyle w:val="a4"/>
        <w:numPr>
          <w:ilvl w:val="0"/>
          <w:numId w:val="2"/>
        </w:numPr>
        <w:spacing w:after="0" w:line="240" w:lineRule="auto"/>
        <w:jc w:val="both"/>
        <w:rPr>
          <w:sz w:val="24"/>
          <w:szCs w:val="24"/>
        </w:rPr>
      </w:pPr>
      <w:r w:rsidRPr="0059069F">
        <w:rPr>
          <w:sz w:val="24"/>
          <w:szCs w:val="24"/>
        </w:rPr>
        <w:t>Για φοιτητές/</w:t>
      </w:r>
      <w:proofErr w:type="spellStart"/>
      <w:r w:rsidRPr="0059069F">
        <w:rPr>
          <w:sz w:val="24"/>
          <w:szCs w:val="24"/>
        </w:rPr>
        <w:t>τριες</w:t>
      </w:r>
      <w:proofErr w:type="spellEnd"/>
      <w:r w:rsidRPr="0059069F">
        <w:rPr>
          <w:sz w:val="24"/>
          <w:szCs w:val="24"/>
        </w:rPr>
        <w:t xml:space="preserve"> που ήταν εγγεγραμμένοι/</w:t>
      </w:r>
      <w:proofErr w:type="spellStart"/>
      <w:r w:rsidRPr="0059069F">
        <w:rPr>
          <w:sz w:val="24"/>
          <w:szCs w:val="24"/>
        </w:rPr>
        <w:t>ες</w:t>
      </w:r>
      <w:proofErr w:type="spellEnd"/>
      <w:r w:rsidRPr="0059069F">
        <w:rPr>
          <w:sz w:val="24"/>
          <w:szCs w:val="24"/>
        </w:rPr>
        <w:t xml:space="preserve"> σε προγράμματα σπουδών πρώτου κύκλου του Πανεπιστημίου Ιωαννίνων κατά την έναρξη ισχύος του ν. 4777/2021, ήτοι τη 17η Φεβρουαρίου 2021, και δεν είχαν υπερβεί την ελάχιστη χρονική διάρκεια φοίτησης του προγράμματος σπουδών τους, εφαρμόζεται ο υπολογισμός της ανώτατης διάρκειας φοίτησης της παρ. 1 του άρθρου 76 του ν. 4957/2022 από την έναρξη του ακαδημαϊκού έτους 2021-2022 και εξής. Η ίδια ρύθμιση εφαρμόζεται και για τους φοιτητές/</w:t>
      </w:r>
      <w:proofErr w:type="spellStart"/>
      <w:r w:rsidRPr="0059069F">
        <w:rPr>
          <w:sz w:val="24"/>
          <w:szCs w:val="24"/>
        </w:rPr>
        <w:t>τριες</w:t>
      </w:r>
      <w:proofErr w:type="spellEnd"/>
      <w:r w:rsidRPr="0059069F">
        <w:rPr>
          <w:sz w:val="24"/>
          <w:szCs w:val="24"/>
        </w:rPr>
        <w:t xml:space="preserve"> που εισήχθησαν σε προγράμματα σπουδών το ακαδημαϊκό έτος 2021-2022.</w:t>
      </w:r>
    </w:p>
    <w:p w14:paraId="6C6A8BC3" w14:textId="77777777" w:rsidR="005E4150" w:rsidRPr="0059069F" w:rsidRDefault="005E4150" w:rsidP="005E4150">
      <w:pPr>
        <w:pStyle w:val="a4"/>
        <w:numPr>
          <w:ilvl w:val="0"/>
          <w:numId w:val="1"/>
        </w:numPr>
        <w:spacing w:after="0" w:line="240" w:lineRule="auto"/>
        <w:jc w:val="both"/>
        <w:rPr>
          <w:sz w:val="24"/>
          <w:szCs w:val="24"/>
        </w:rPr>
      </w:pPr>
      <w:r w:rsidRPr="0059069F">
        <w:rPr>
          <w:sz w:val="24"/>
          <w:szCs w:val="24"/>
        </w:rPr>
        <w:t>Οι φοιτητές/</w:t>
      </w:r>
      <w:proofErr w:type="spellStart"/>
      <w:r w:rsidRPr="0059069F">
        <w:rPr>
          <w:sz w:val="24"/>
          <w:szCs w:val="24"/>
        </w:rPr>
        <w:t>τριες</w:t>
      </w:r>
      <w:proofErr w:type="spellEnd"/>
      <w:r w:rsidRPr="0059069F">
        <w:rPr>
          <w:sz w:val="24"/>
          <w:szCs w:val="24"/>
        </w:rPr>
        <w:t xml:space="preserve"> που ήταν εγγεγραμμένοι/</w:t>
      </w:r>
      <w:proofErr w:type="spellStart"/>
      <w:r w:rsidRPr="0059069F">
        <w:rPr>
          <w:sz w:val="24"/>
          <w:szCs w:val="24"/>
        </w:rPr>
        <w:t>ες</w:t>
      </w:r>
      <w:proofErr w:type="spellEnd"/>
      <w:r w:rsidRPr="0059069F">
        <w:rPr>
          <w:sz w:val="24"/>
          <w:szCs w:val="24"/>
        </w:rPr>
        <w:t xml:space="preserve"> σε προγράμματα σπουδών πρώτου κύκλου του Πανεπιστημίου Ιωαννίνων κατά την έναρξη ισχύος του ν. 4777/2021 και είχαν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από την έναρξη του ακαδημαϊκού έτους 2021-2022 και εξής, χωρίς δικαίωμα προσαύξησης του χρόνου φοίτησης κατά την παρ. 1 του άρθρου 76 του ν. 4957/2022, όπως τροποποιήθηκε και ισχύει. Για την κατηγορία των φοιτητών/τριών του προηγούμενου εδαφίου η αίτηση της παρ. 2 του άρθρου 76 του ν. 4957/2022, όπως τροποποιήθηκε και ισχύει, υποβάλλεται εντός προθεσμίας τριάντα (30)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 από την έναρξη του ακαδημαϊκού έτους 2021-2022. Η ανωτέρω προθεσμία προσδιορίζεται στο ακαδημαϊκό ημερολόγιο του Πανεπιστημίου Ιωαννίνων.</w:t>
      </w:r>
    </w:p>
    <w:p w14:paraId="4E809B58" w14:textId="77777777" w:rsidR="005E4150" w:rsidRPr="0059069F" w:rsidRDefault="005E4150" w:rsidP="005E4150">
      <w:pPr>
        <w:spacing w:line="240" w:lineRule="auto"/>
        <w:ind w:left="360"/>
        <w:jc w:val="both"/>
      </w:pPr>
    </w:p>
    <w:p w14:paraId="36D46133" w14:textId="77777777" w:rsidR="005E4150" w:rsidRPr="0059069F" w:rsidRDefault="005E4150" w:rsidP="005E4150">
      <w:pPr>
        <w:spacing w:line="240" w:lineRule="auto"/>
        <w:jc w:val="both"/>
        <w:rPr>
          <w:strike/>
        </w:rPr>
      </w:pPr>
      <w:r w:rsidRPr="0059069F">
        <w:t>Για φοιτητές/</w:t>
      </w:r>
      <w:proofErr w:type="spellStart"/>
      <w:r w:rsidRPr="0059069F">
        <w:t>τριες</w:t>
      </w:r>
      <w:proofErr w:type="spellEnd"/>
      <w:r w:rsidRPr="0059069F">
        <w:t xml:space="preserve"> που είχαν ασκήσει το δικαίωμα διακοπής φοίτησης έως και το ακαδημαϊκό έτος 2020–2021, δεν </w:t>
      </w:r>
      <w:proofErr w:type="spellStart"/>
      <w:r w:rsidRPr="0059069F">
        <w:t>προσμετράται</w:t>
      </w:r>
      <w:proofErr w:type="spellEnd"/>
      <w:r w:rsidRPr="0059069F">
        <w:t xml:space="preserve"> η περίοδος της διακοπής φοίτησης κατά τον υπολογισμό της ελάχιστης διάρκειας φοίτησης (ν έτη σπουδών) και της συνακόλουθης ανώτατης διάρκειας φοίτησης. Κατά συνέπεια, η συμπλήρωση της ελάχιστης διάρκειας φοίτησης και η έναρξη υπολογισμού του χρονικού διαστήματος για τη συμπλήρωση της ανώτατης κατά περίπτωση διάρκειας φοίτησης μετατίθενται αντίστοιχα. Η μη προσμέτρηση του χρονικού διαστήματος διακοπής φοίτησης στην ανώτατη διάρκεια φοίτησης εφαρμόζεται αντίστοιχα και για όσους/</w:t>
      </w:r>
      <w:proofErr w:type="spellStart"/>
      <w:r w:rsidRPr="0059069F">
        <w:t>ες</w:t>
      </w:r>
      <w:proofErr w:type="spellEnd"/>
      <w:r w:rsidRPr="0059069F">
        <w:t xml:space="preserve"> φοιτητές/</w:t>
      </w:r>
      <w:proofErr w:type="spellStart"/>
      <w:r w:rsidRPr="0059069F">
        <w:t>τριες</w:t>
      </w:r>
      <w:proofErr w:type="spellEnd"/>
      <w:r w:rsidRPr="0059069F">
        <w:t xml:space="preserve"> έκαναν ή κάνουν χρήση του δικαιώματος αυτού από το ακαδημαϊκό έτος 2021-2022 και εξής. </w:t>
      </w:r>
    </w:p>
    <w:p w14:paraId="0CA1C064" w14:textId="77777777" w:rsidR="005E4150" w:rsidRPr="0059069F" w:rsidRDefault="005E4150" w:rsidP="005E4150">
      <w:pPr>
        <w:spacing w:line="240" w:lineRule="auto"/>
        <w:jc w:val="both"/>
        <w:rPr>
          <w:strike/>
        </w:rPr>
      </w:pPr>
    </w:p>
    <w:p w14:paraId="23687F01" w14:textId="77777777" w:rsidR="005E4150" w:rsidRPr="0059069F" w:rsidRDefault="005E4150" w:rsidP="005E4150">
      <w:pPr>
        <w:spacing w:line="240" w:lineRule="auto"/>
        <w:jc w:val="both"/>
      </w:pPr>
      <w:r w:rsidRPr="0059069F">
        <w:rPr>
          <w:rFonts w:cs="Calibri"/>
        </w:rPr>
        <w:t>Για φοιτητές/</w:t>
      </w:r>
      <w:proofErr w:type="spellStart"/>
      <w:r w:rsidRPr="0059069F">
        <w:rPr>
          <w:rFonts w:cs="Calibri"/>
        </w:rPr>
        <w:t>τριες</w:t>
      </w:r>
      <w:proofErr w:type="spellEnd"/>
      <w:r w:rsidRPr="0059069F">
        <w:rPr>
          <w:rFonts w:cs="Calibri"/>
        </w:rPr>
        <w:t xml:space="preserve"> που φοιτούν υπό́ καθεστώς μερικής φοίτησης, κάθε εξάμηνο </w:t>
      </w:r>
      <w:proofErr w:type="spellStart"/>
      <w:r w:rsidRPr="0059069F">
        <w:rPr>
          <w:rFonts w:cs="Calibri"/>
        </w:rPr>
        <w:t>προσμετράται</w:t>
      </w:r>
      <w:proofErr w:type="spellEnd"/>
      <w:r w:rsidRPr="0059069F">
        <w:rPr>
          <w:rFonts w:cs="Calibri"/>
        </w:rPr>
        <w:t xml:space="preserve"> ως μισό́ ακαδημαϊκό́ εξάμηνο στον υπολογισμό της ανώτατης διάρκειας φοίτησης, </w:t>
      </w:r>
      <w:r w:rsidRPr="0059069F">
        <w:rPr>
          <w:rFonts w:cs="Calibri"/>
          <w:lang w:eastAsia="el-GR"/>
        </w:rPr>
        <w:t xml:space="preserve">σύμφωνα με τις διατάξεις της παρ. 3 του άρθρου 76 του ν. 4957/2022 </w:t>
      </w:r>
      <w:r w:rsidRPr="0059069F">
        <w:rPr>
          <w:rFonts w:cs="Calibri"/>
        </w:rPr>
        <w:t>όπως τροποποιήθηκε και ισχύει με τις διατάξεις των παρ. 1, 2, 3, 4 του άρθρου 130 του ν. 5224/2025</w:t>
      </w:r>
      <w:r w:rsidRPr="0059069F">
        <w:rPr>
          <w:rFonts w:cs="Calibri"/>
          <w:lang w:eastAsia="el-GR"/>
        </w:rPr>
        <w:t>.</w:t>
      </w:r>
      <w:r w:rsidRPr="0059069F">
        <w:t xml:space="preserve"> </w:t>
      </w:r>
    </w:p>
    <w:p w14:paraId="29E04513" w14:textId="77777777" w:rsidR="008115B9" w:rsidRPr="0059069F" w:rsidRDefault="008115B9" w:rsidP="005E4150">
      <w:pPr>
        <w:spacing w:line="240" w:lineRule="auto"/>
        <w:jc w:val="both"/>
      </w:pPr>
    </w:p>
    <w:p w14:paraId="2999762A" w14:textId="30FB4913" w:rsidR="005E4150" w:rsidRPr="0059069F" w:rsidRDefault="005E4150" w:rsidP="005E4150">
      <w:pPr>
        <w:spacing w:line="240" w:lineRule="auto"/>
        <w:jc w:val="center"/>
        <w:rPr>
          <w:rFonts w:cs="Calibri"/>
          <w:b/>
          <w:bCs/>
        </w:rPr>
      </w:pPr>
      <w:r w:rsidRPr="0059069F">
        <w:rPr>
          <w:rFonts w:cs="Calibri"/>
          <w:b/>
          <w:bCs/>
        </w:rPr>
        <w:lastRenderedPageBreak/>
        <w:t>Άρθρο 3</w:t>
      </w:r>
    </w:p>
    <w:p w14:paraId="0B27526B" w14:textId="77777777" w:rsidR="005E4150" w:rsidRPr="0059069F" w:rsidRDefault="005E4150" w:rsidP="005E4150">
      <w:pPr>
        <w:spacing w:line="240" w:lineRule="auto"/>
        <w:jc w:val="center"/>
      </w:pPr>
    </w:p>
    <w:p w14:paraId="7F56F5C2" w14:textId="61E8874C" w:rsidR="005E4150" w:rsidRPr="0059069F" w:rsidRDefault="005E4150" w:rsidP="005E4150">
      <w:pPr>
        <w:jc w:val="both"/>
        <w:rPr>
          <w:rFonts w:cs="Calibri"/>
        </w:rPr>
      </w:pPr>
      <w:r w:rsidRPr="0059069F">
        <w:rPr>
          <w:rFonts w:cs="Calibri"/>
        </w:rPr>
        <w:t>Φοιτητές/</w:t>
      </w:r>
      <w:proofErr w:type="spellStart"/>
      <w:r w:rsidRPr="0059069F">
        <w:rPr>
          <w:rFonts w:cs="Calibri"/>
        </w:rPr>
        <w:t>τριες</w:t>
      </w:r>
      <w:proofErr w:type="spellEnd"/>
      <w:r w:rsidRPr="0059069F">
        <w:rPr>
          <w:rFonts w:cs="Calibri"/>
        </w:rPr>
        <w:t xml:space="preserve"> που </w:t>
      </w:r>
      <w:r w:rsidR="00E53473" w:rsidRPr="0059069F">
        <w:rPr>
          <w:rFonts w:cs="Calibri"/>
        </w:rPr>
        <w:t xml:space="preserve">είχαν εισαχθεί σε Τμήματα του </w:t>
      </w:r>
      <w:proofErr w:type="spellStart"/>
      <w:r w:rsidR="00E53473" w:rsidRPr="0059069F">
        <w:rPr>
          <w:rFonts w:cs="Calibri"/>
        </w:rPr>
        <w:t>καταργηθέντος</w:t>
      </w:r>
      <w:proofErr w:type="spellEnd"/>
      <w:r w:rsidR="00E53473" w:rsidRPr="0059069F">
        <w:rPr>
          <w:rFonts w:cs="Calibri"/>
        </w:rPr>
        <w:t xml:space="preserve"> Τεχνολογικού Εκπαιδευτικού Ιδρύματος (Τ.Ε.Ι.) Ηπείρου και </w:t>
      </w:r>
      <w:r w:rsidRPr="0059069F">
        <w:rPr>
          <w:rFonts w:cs="Calibri"/>
        </w:rPr>
        <w:t>κάνουν χρήση των ευεργετικών διατάξεων της παρ. 5  του άρθρου 5 του ν.</w:t>
      </w:r>
      <w:r w:rsidR="00E53473" w:rsidRPr="0059069F">
        <w:rPr>
          <w:rFonts w:cs="Calibri"/>
        </w:rPr>
        <w:t xml:space="preserve"> </w:t>
      </w:r>
      <w:r w:rsidRPr="0059069F">
        <w:rPr>
          <w:rFonts w:cs="Calibri"/>
        </w:rPr>
        <w:t>4559/2018, όπως τροποποιήθηκε και ισχύει με τις διατάξεις της παρ. 3 του άρθρου 68 του ν.</w:t>
      </w:r>
      <w:r w:rsidR="00E53473" w:rsidRPr="0059069F">
        <w:rPr>
          <w:rFonts w:cs="Calibri"/>
        </w:rPr>
        <w:t xml:space="preserve"> </w:t>
      </w:r>
      <w:r w:rsidRPr="0059069F">
        <w:rPr>
          <w:rFonts w:cs="Calibri"/>
        </w:rPr>
        <w:t xml:space="preserve">4610/2019, </w:t>
      </w:r>
      <w:r w:rsidR="00921C7A" w:rsidRPr="0059069F">
        <w:rPr>
          <w:rFonts w:cs="Calibri"/>
        </w:rPr>
        <w:t>οι οποίες τους παρ</w:t>
      </w:r>
      <w:r w:rsidRPr="0059069F">
        <w:rPr>
          <w:rFonts w:cs="Calibri"/>
        </w:rPr>
        <w:t>έχουν τη δυνατότητα να παρακολουθήσουν επιτυχώς επιπλέον μαθήματα από το πρόγραμμα σπουδών του αντίστοιχου Τμήματος και να λάβουν πτυχίο πανεπιστημιακής εκπαίδευσης (ΠΕ) αντί του αντίστοιχου ΤΕΙ, διαθέτουν για την ολοκλήρωση των σπουδών τους χρόνο ίσο προς την ελάχιστη χρονική διάρκεια φοίτησης του πανεπιστημιακού τμήματος, ο οποίος υπολογίζεται από το ακαδημαϊκό έτος ένταξής τους στο Πανεπιστημιακό Τμήμα.</w:t>
      </w:r>
    </w:p>
    <w:p w14:paraId="461EFEC6" w14:textId="77777777" w:rsidR="005E4150" w:rsidRPr="0059069F" w:rsidRDefault="005E4150" w:rsidP="005E4150">
      <w:pPr>
        <w:jc w:val="both"/>
        <w:rPr>
          <w:rFonts w:cs="Calibri"/>
        </w:rPr>
      </w:pPr>
    </w:p>
    <w:p w14:paraId="2E20CFF7" w14:textId="77777777" w:rsidR="005E4150" w:rsidRPr="0059069F" w:rsidRDefault="005E4150" w:rsidP="005E4150">
      <w:pPr>
        <w:jc w:val="both"/>
        <w:rPr>
          <w:rFonts w:cs="Calibri"/>
          <w:highlight w:val="yellow"/>
        </w:rPr>
      </w:pPr>
    </w:p>
    <w:p w14:paraId="3BD70EFF" w14:textId="4531C10A" w:rsidR="005E4150" w:rsidRPr="0059069F" w:rsidRDefault="005E4150" w:rsidP="005E4150">
      <w:pPr>
        <w:jc w:val="center"/>
        <w:rPr>
          <w:rFonts w:cs="Calibri"/>
          <w:b/>
          <w:bCs/>
        </w:rPr>
      </w:pPr>
      <w:r w:rsidRPr="0059069F">
        <w:rPr>
          <w:rFonts w:cs="Calibri"/>
          <w:b/>
          <w:bCs/>
        </w:rPr>
        <w:t>Άρθρο 4</w:t>
      </w:r>
    </w:p>
    <w:p w14:paraId="20C77473" w14:textId="77777777" w:rsidR="005E4150" w:rsidRPr="0059069F" w:rsidRDefault="005E4150" w:rsidP="005E4150">
      <w:pPr>
        <w:jc w:val="center"/>
        <w:rPr>
          <w:rFonts w:cs="Calibri"/>
          <w:b/>
          <w:bCs/>
        </w:rPr>
      </w:pPr>
    </w:p>
    <w:p w14:paraId="4467256D" w14:textId="77777777" w:rsidR="005E4150" w:rsidRPr="0059069F" w:rsidRDefault="005E4150" w:rsidP="005E4150">
      <w:pPr>
        <w:jc w:val="both"/>
        <w:rPr>
          <w:rFonts w:cs="Calibri"/>
        </w:rPr>
      </w:pPr>
      <w:r w:rsidRPr="0059069F">
        <w:rPr>
          <w:rFonts w:cs="Calibri"/>
        </w:rPr>
        <w:t>Για φοιτητές/</w:t>
      </w:r>
      <w:proofErr w:type="spellStart"/>
      <w:r w:rsidRPr="0059069F">
        <w:rPr>
          <w:rFonts w:cs="Calibri"/>
        </w:rPr>
        <w:t>τριες</w:t>
      </w:r>
      <w:proofErr w:type="spellEnd"/>
      <w:r w:rsidRPr="0059069F">
        <w:rPr>
          <w:rFonts w:cs="Calibri"/>
        </w:rPr>
        <w:t xml:space="preserve"> που εγγράφονται σε προγράμματα σπουδών πρώτου κύκλου μετά από κατατακτήριες εξετάσεις και που το οικείο Ακαδημαϊκό Τμήμα τους κατατάσσει με αναδρομικότητα (π.χ. στο Γ’ εξάμηνο φοίτησης αντί στο Α’ εξάμηνο) τα (ν) έτη σπουδών μετρούν και υπολογίζονται από το έτος της κατάταξής τους και όχι από το έτος εγγραφής τους.</w:t>
      </w:r>
    </w:p>
    <w:p w14:paraId="4F25A9C7" w14:textId="77777777" w:rsidR="00A12912" w:rsidRPr="0059069F" w:rsidRDefault="00A12912" w:rsidP="00A12912">
      <w:pPr>
        <w:spacing w:line="240" w:lineRule="auto"/>
        <w:jc w:val="both"/>
        <w:rPr>
          <w:rFonts w:cs="Calibri"/>
        </w:rPr>
      </w:pPr>
    </w:p>
    <w:p w14:paraId="2A2CE3B5" w14:textId="77777777" w:rsidR="00580B3B" w:rsidRPr="0059069F" w:rsidRDefault="00580B3B" w:rsidP="00580B3B">
      <w:pPr>
        <w:jc w:val="both"/>
        <w:rPr>
          <w:rFonts w:cs="Calibri"/>
        </w:rPr>
      </w:pPr>
    </w:p>
    <w:p w14:paraId="17286488" w14:textId="74C1BBD4" w:rsidR="00580B3B" w:rsidRPr="0059069F" w:rsidRDefault="00580B3B" w:rsidP="00580B3B">
      <w:pPr>
        <w:spacing w:after="240"/>
        <w:jc w:val="center"/>
        <w:rPr>
          <w:rFonts w:cs="Calibri"/>
          <w:b/>
          <w:bCs/>
        </w:rPr>
      </w:pPr>
      <w:r w:rsidRPr="0059069F">
        <w:rPr>
          <w:rFonts w:cs="Calibri"/>
          <w:b/>
          <w:bCs/>
        </w:rPr>
        <w:t xml:space="preserve">Άρθρο </w:t>
      </w:r>
      <w:r w:rsidR="005E4150" w:rsidRPr="0059069F">
        <w:rPr>
          <w:rFonts w:cs="Calibri"/>
          <w:b/>
          <w:bCs/>
        </w:rPr>
        <w:t>5</w:t>
      </w:r>
    </w:p>
    <w:p w14:paraId="239594E6" w14:textId="7D6AD63F" w:rsidR="00580B3B" w:rsidRPr="0059069F" w:rsidRDefault="00580B3B" w:rsidP="00580B3B">
      <w:pPr>
        <w:jc w:val="both"/>
        <w:rPr>
          <w:rFonts w:cs="Calibri"/>
        </w:rPr>
      </w:pPr>
      <w:r w:rsidRPr="0059069F">
        <w:rPr>
          <w:rFonts w:cs="Calibri"/>
        </w:rPr>
        <w:t xml:space="preserve">Η ρύθμιση της ανώτατης διάρκειας φοίτησης και της </w:t>
      </w:r>
      <w:r w:rsidR="0061032D" w:rsidRPr="0059069F">
        <w:rPr>
          <w:rFonts w:cs="Calibri"/>
        </w:rPr>
        <w:t xml:space="preserve">αυτοδίκαιης </w:t>
      </w:r>
      <w:r w:rsidRPr="0059069F">
        <w:rPr>
          <w:rFonts w:cs="Calibri"/>
        </w:rPr>
        <w:t>διαγραφής σύμφωνα με τις διατάξεις του τρίτου εδαφίου της παρ. 1 του ν.</w:t>
      </w:r>
      <w:r w:rsidR="0061032D" w:rsidRPr="0059069F">
        <w:rPr>
          <w:rFonts w:cs="Calibri"/>
        </w:rPr>
        <w:t xml:space="preserve"> </w:t>
      </w:r>
      <w:r w:rsidRPr="0059069F">
        <w:rPr>
          <w:rFonts w:cs="Calibri"/>
        </w:rPr>
        <w:t>5224/2025 δεν εφαρμόζεται για φοιτητές/</w:t>
      </w:r>
      <w:proofErr w:type="spellStart"/>
      <w:r w:rsidRPr="0059069F">
        <w:rPr>
          <w:rFonts w:cs="Calibri"/>
        </w:rPr>
        <w:t>τριες</w:t>
      </w:r>
      <w:proofErr w:type="spellEnd"/>
      <w:r w:rsidRPr="0059069F">
        <w:rPr>
          <w:rFonts w:cs="Calibri"/>
        </w:rPr>
        <w:t xml:space="preserve"> που εμπίπτουν στις κάτωθι κατηγορίες:</w:t>
      </w:r>
    </w:p>
    <w:p w14:paraId="3C7DF121" w14:textId="77777777" w:rsidR="00580B3B" w:rsidRPr="0059069F" w:rsidRDefault="00580B3B" w:rsidP="00580B3B">
      <w:pPr>
        <w:pStyle w:val="a4"/>
        <w:numPr>
          <w:ilvl w:val="0"/>
          <w:numId w:val="4"/>
        </w:numPr>
        <w:suppressAutoHyphens/>
        <w:spacing w:after="0" w:line="100" w:lineRule="atLeast"/>
        <w:contextualSpacing/>
        <w:jc w:val="both"/>
        <w:textAlignment w:val="baseline"/>
        <w:rPr>
          <w:sz w:val="24"/>
          <w:szCs w:val="24"/>
        </w:rPr>
      </w:pPr>
      <w:r w:rsidRPr="0059069F">
        <w:rPr>
          <w:sz w:val="24"/>
          <w:szCs w:val="24"/>
        </w:rPr>
        <w:t>Φοιτητές/</w:t>
      </w:r>
      <w:proofErr w:type="spellStart"/>
      <w:r w:rsidRPr="0059069F">
        <w:rPr>
          <w:sz w:val="24"/>
          <w:szCs w:val="24"/>
        </w:rPr>
        <w:t>τριες</w:t>
      </w:r>
      <w:proofErr w:type="spellEnd"/>
      <w:r w:rsidRPr="0059069F">
        <w:rPr>
          <w:sz w:val="24"/>
          <w:szCs w:val="24"/>
        </w:rPr>
        <w:t xml:space="preserve"> με πιστοποιημένη αναπηρία σε ποσοστό τουλάχιστον πενήντα τοις εκατό (50%)</w:t>
      </w:r>
    </w:p>
    <w:p w14:paraId="757642A4" w14:textId="41A2B245" w:rsidR="00580B3B" w:rsidRPr="0059069F" w:rsidRDefault="00580B3B" w:rsidP="00580B3B">
      <w:pPr>
        <w:pStyle w:val="a4"/>
        <w:numPr>
          <w:ilvl w:val="0"/>
          <w:numId w:val="4"/>
        </w:numPr>
        <w:spacing w:after="0" w:line="240" w:lineRule="auto"/>
        <w:contextualSpacing/>
        <w:jc w:val="both"/>
        <w:rPr>
          <w:sz w:val="24"/>
          <w:szCs w:val="24"/>
        </w:rPr>
      </w:pPr>
      <w:r w:rsidRPr="0059069F">
        <w:rPr>
          <w:sz w:val="24"/>
          <w:szCs w:val="24"/>
        </w:rPr>
        <w:t>Φοιτητές/</w:t>
      </w:r>
      <w:proofErr w:type="spellStart"/>
      <w:r w:rsidRPr="0059069F">
        <w:rPr>
          <w:sz w:val="24"/>
          <w:szCs w:val="24"/>
        </w:rPr>
        <w:t>τριες</w:t>
      </w:r>
      <w:proofErr w:type="spellEnd"/>
      <w:r w:rsidRPr="0059069F">
        <w:rPr>
          <w:sz w:val="24"/>
          <w:szCs w:val="24"/>
        </w:rPr>
        <w:t xml:space="preserve"> οι οποίοι/</w:t>
      </w:r>
      <w:proofErr w:type="spellStart"/>
      <w:r w:rsidRPr="0059069F">
        <w:rPr>
          <w:sz w:val="24"/>
          <w:szCs w:val="24"/>
        </w:rPr>
        <w:t>ες</w:t>
      </w:r>
      <w:proofErr w:type="spellEnd"/>
      <w:r w:rsidRPr="0059069F">
        <w:rPr>
          <w:sz w:val="24"/>
          <w:szCs w:val="24"/>
        </w:rPr>
        <w:t xml:space="preserve"> πάσχουν από σοβαρές παθήσεις που έχουν πιστοποιηθεί, δεν φέρουν αριθμητικό προσδιορισμό ποσοστού αναπηρίας στη γνωμάτευση αλλά, βάσει κείμενων διατάξεων ή σχετικών πινάκων αντιστοίχισης παθήσεων – ποσοστών (π.χ. Πίνακας Εκτίμησης Βαθμού </w:t>
      </w:r>
      <w:r w:rsidR="00F55743" w:rsidRPr="0059069F">
        <w:rPr>
          <w:sz w:val="24"/>
          <w:szCs w:val="24"/>
        </w:rPr>
        <w:t>Αναπηρίας</w:t>
      </w:r>
      <w:r w:rsidRPr="0059069F">
        <w:rPr>
          <w:sz w:val="24"/>
          <w:szCs w:val="24"/>
        </w:rPr>
        <w:t xml:space="preserve"> του ν. 3863/2010 ή ισχύουσες υπουργικές αποφάσεις), αντιστοιχούν σε ποσοστό αναπηρίας τουλάχιστον 50%.</w:t>
      </w:r>
    </w:p>
    <w:p w14:paraId="4B0237D8" w14:textId="161E91D7" w:rsidR="00580B3B" w:rsidRPr="0059069F" w:rsidRDefault="00580B3B" w:rsidP="00C24BFB">
      <w:pPr>
        <w:pStyle w:val="Web"/>
        <w:shd w:val="clear" w:color="auto" w:fill="FFFFFF"/>
        <w:jc w:val="both"/>
        <w:rPr>
          <w:rFonts w:asciiTheme="minorHAnsi" w:hAnsiTheme="minorHAnsi" w:cstheme="minorHAnsi"/>
        </w:rPr>
      </w:pPr>
      <w:r w:rsidRPr="0059069F">
        <w:rPr>
          <w:rFonts w:asciiTheme="minorHAnsi" w:hAnsiTheme="minorHAnsi" w:cstheme="minorHAnsi"/>
        </w:rPr>
        <w:t xml:space="preserve">Ως απαραίτητο δικαιολογητικό για την υπαγωγή στην κατηγορία εξαίρεσης, ο/η φοιτητής/τρια υποχρεούται να προσκομίσει γνωμάτευση από υγειονομική επιτροπή του Κέντρου Πιστοποίησης Αναπηρίας (ΚΕ.Π.Α.) ή γνωμάτευση των Ανώτατων Υγειονομικών Επιτροπών του Στρατού (Α.Σ.Υ.Ε.), του Ναυτικού (Α.Ν.Υ.Ε.), της Αεροπορίας (Α.Α.Υ.Ε.), της Ελληνικής Αστυνομίας ή του Πυροσβεστικού Σώματος από την οποία προκύπτει η πιστοποιημένη αναπηρία και το ακριβές ποσοστό αυτής. </w:t>
      </w:r>
      <w:r w:rsidR="0061032D" w:rsidRPr="0059069F">
        <w:rPr>
          <w:rFonts w:asciiTheme="minorHAnsi" w:hAnsiTheme="minorHAnsi" w:cstheme="minorHAnsi"/>
        </w:rPr>
        <w:t xml:space="preserve">Εναλλακτικά της προσκόμισης γνωμάτευσης του προηγούμενου εδαφίου, δύναται να επιδεικνύεται ή να προσκομίζεται κάρτα αναπηρίας του άρθρου 106 του ν. 4961/2022(Α’ 146) και η Γραμματεία του Τμήματος ή της Μονοτμηματικής </w:t>
      </w:r>
      <w:proofErr w:type="spellStart"/>
      <w:r w:rsidR="0061032D" w:rsidRPr="0059069F">
        <w:rPr>
          <w:rFonts w:asciiTheme="minorHAnsi" w:hAnsiTheme="minorHAnsi" w:cstheme="minorHAnsi"/>
        </w:rPr>
        <w:t>Σχολής</w:t>
      </w:r>
      <w:proofErr w:type="spellEnd"/>
      <w:r w:rsidR="0061032D" w:rsidRPr="0059069F">
        <w:rPr>
          <w:rFonts w:asciiTheme="minorHAnsi" w:hAnsiTheme="minorHAnsi" w:cstheme="minorHAnsi"/>
        </w:rPr>
        <w:t xml:space="preserve"> </w:t>
      </w:r>
      <w:proofErr w:type="spellStart"/>
      <w:r w:rsidR="0061032D" w:rsidRPr="0059069F">
        <w:rPr>
          <w:rFonts w:asciiTheme="minorHAnsi" w:hAnsiTheme="minorHAnsi" w:cstheme="minorHAnsi"/>
        </w:rPr>
        <w:t>υποχρεούται</w:t>
      </w:r>
      <w:proofErr w:type="spellEnd"/>
      <w:r w:rsidR="0061032D" w:rsidRPr="0059069F">
        <w:rPr>
          <w:rFonts w:asciiTheme="minorHAnsi" w:hAnsiTheme="minorHAnsi" w:cstheme="minorHAnsi"/>
        </w:rPr>
        <w:t xml:space="preserve"> να </w:t>
      </w:r>
      <w:proofErr w:type="spellStart"/>
      <w:r w:rsidR="0061032D" w:rsidRPr="0059069F">
        <w:rPr>
          <w:rFonts w:asciiTheme="minorHAnsi" w:hAnsiTheme="minorHAnsi" w:cstheme="minorHAnsi"/>
        </w:rPr>
        <w:t>επιβεβαιώνει</w:t>
      </w:r>
      <w:proofErr w:type="spellEnd"/>
      <w:r w:rsidR="0061032D" w:rsidRPr="0059069F">
        <w:rPr>
          <w:rFonts w:asciiTheme="minorHAnsi" w:hAnsiTheme="minorHAnsi" w:cstheme="minorHAnsi"/>
        </w:rPr>
        <w:t xml:space="preserve"> </w:t>
      </w:r>
      <w:proofErr w:type="spellStart"/>
      <w:r w:rsidR="0061032D" w:rsidRPr="0059069F">
        <w:rPr>
          <w:rFonts w:asciiTheme="minorHAnsi" w:hAnsiTheme="minorHAnsi" w:cstheme="minorHAnsi"/>
        </w:rPr>
        <w:t>ότι</w:t>
      </w:r>
      <w:proofErr w:type="spellEnd"/>
      <w:r w:rsidR="0061032D" w:rsidRPr="0059069F">
        <w:rPr>
          <w:rFonts w:asciiTheme="minorHAnsi" w:hAnsiTheme="minorHAnsi" w:cstheme="minorHAnsi"/>
        </w:rPr>
        <w:t xml:space="preserve"> ο/η </w:t>
      </w:r>
      <w:proofErr w:type="spellStart"/>
      <w:r w:rsidR="0061032D" w:rsidRPr="0059069F">
        <w:rPr>
          <w:rFonts w:asciiTheme="minorHAnsi" w:hAnsiTheme="minorHAnsi" w:cstheme="minorHAnsi"/>
        </w:rPr>
        <w:t>φοιτητής</w:t>
      </w:r>
      <w:proofErr w:type="spellEnd"/>
      <w:r w:rsidR="0061032D" w:rsidRPr="0059069F">
        <w:rPr>
          <w:rFonts w:asciiTheme="minorHAnsi" w:hAnsiTheme="minorHAnsi" w:cstheme="minorHAnsi"/>
        </w:rPr>
        <w:t>/</w:t>
      </w:r>
      <w:proofErr w:type="spellStart"/>
      <w:r w:rsidR="0061032D" w:rsidRPr="0059069F">
        <w:rPr>
          <w:rFonts w:asciiTheme="minorHAnsi" w:hAnsiTheme="minorHAnsi" w:cstheme="minorHAnsi"/>
        </w:rPr>
        <w:t>τρια</w:t>
      </w:r>
      <w:proofErr w:type="spellEnd"/>
      <w:r w:rsidR="0061032D" w:rsidRPr="0059069F">
        <w:rPr>
          <w:rFonts w:asciiTheme="minorHAnsi" w:hAnsiTheme="minorHAnsi" w:cstheme="minorHAnsi"/>
        </w:rPr>
        <w:t xml:space="preserve"> είναι </w:t>
      </w:r>
      <w:proofErr w:type="spellStart"/>
      <w:r w:rsidR="0061032D" w:rsidRPr="0059069F">
        <w:rPr>
          <w:rFonts w:asciiTheme="minorHAnsi" w:hAnsiTheme="minorHAnsi" w:cstheme="minorHAnsi"/>
        </w:rPr>
        <w:t>εγγεγραμμένος</w:t>
      </w:r>
      <w:proofErr w:type="spellEnd"/>
      <w:r w:rsidR="0061032D" w:rsidRPr="0059069F">
        <w:rPr>
          <w:rFonts w:asciiTheme="minorHAnsi" w:hAnsiTheme="minorHAnsi" w:cstheme="minorHAnsi"/>
        </w:rPr>
        <w:t xml:space="preserve">/η στο </w:t>
      </w:r>
      <w:proofErr w:type="spellStart"/>
      <w:r w:rsidR="0061032D" w:rsidRPr="0059069F">
        <w:rPr>
          <w:rFonts w:asciiTheme="minorHAnsi" w:hAnsiTheme="minorHAnsi" w:cstheme="minorHAnsi"/>
        </w:rPr>
        <w:t>Ψηφιακο</w:t>
      </w:r>
      <w:proofErr w:type="spellEnd"/>
      <w:r w:rsidR="0061032D" w:rsidRPr="0059069F">
        <w:rPr>
          <w:rFonts w:asciiTheme="minorHAnsi" w:hAnsiTheme="minorHAnsi" w:cstheme="minorHAnsi"/>
        </w:rPr>
        <w:t xml:space="preserve">́ </w:t>
      </w:r>
      <w:proofErr w:type="spellStart"/>
      <w:r w:rsidR="0061032D" w:rsidRPr="0059069F">
        <w:rPr>
          <w:rFonts w:asciiTheme="minorHAnsi" w:hAnsiTheme="minorHAnsi" w:cstheme="minorHAnsi"/>
        </w:rPr>
        <w:t>Μητρώο</w:t>
      </w:r>
      <w:proofErr w:type="spellEnd"/>
      <w:r w:rsidR="0061032D" w:rsidRPr="0059069F">
        <w:rPr>
          <w:rFonts w:asciiTheme="minorHAnsi" w:hAnsiTheme="minorHAnsi" w:cstheme="minorHAnsi"/>
        </w:rPr>
        <w:t xml:space="preserve"> Ατόμων με Αναπηρία του άρθρου 105 του ίδιου νόμου.</w:t>
      </w:r>
    </w:p>
    <w:p w14:paraId="699232AA" w14:textId="22000CAD" w:rsidR="00580B3B" w:rsidRPr="0059069F" w:rsidRDefault="00580B3B" w:rsidP="00580B3B">
      <w:pPr>
        <w:jc w:val="both"/>
        <w:rPr>
          <w:rFonts w:cs="Calibri"/>
        </w:rPr>
      </w:pPr>
      <w:r w:rsidRPr="0059069F">
        <w:rPr>
          <w:rFonts w:cs="Calibri"/>
        </w:rPr>
        <w:t xml:space="preserve">Σε περίπτωση </w:t>
      </w:r>
      <w:r w:rsidR="0071606F" w:rsidRPr="0059069F">
        <w:rPr>
          <w:rFonts w:cs="Calibri"/>
        </w:rPr>
        <w:t xml:space="preserve">σοβαρής πάθησης </w:t>
      </w:r>
      <w:r w:rsidRPr="0059069F">
        <w:rPr>
          <w:rFonts w:cs="Calibri"/>
        </w:rPr>
        <w:t>χωρίς αναγραφόμενο ποσοστό, ο/η φοιτητής/</w:t>
      </w:r>
      <w:proofErr w:type="spellStart"/>
      <w:r w:rsidRPr="0059069F">
        <w:rPr>
          <w:rFonts w:cs="Calibri"/>
        </w:rPr>
        <w:t>τρια</w:t>
      </w:r>
      <w:proofErr w:type="spellEnd"/>
      <w:r w:rsidRPr="0059069F">
        <w:rPr>
          <w:rFonts w:cs="Calibri"/>
        </w:rPr>
        <w:t xml:space="preserve"> οφείλει να προσκομίσει συμπληρωματικά έγγραφα (π.χ. σχετική Υ.Α., πίνακα ΚΕ.Π.Α., ιατρική γνωμάτευση) που τεκμηριώνουν ότι η πάθηση αντιστοιχεί σε ποσοστό ≥50%.</w:t>
      </w:r>
    </w:p>
    <w:p w14:paraId="6022F3E5" w14:textId="37F37614" w:rsidR="00580B3B" w:rsidRPr="0059069F" w:rsidRDefault="00580B3B" w:rsidP="00580B3B">
      <w:pPr>
        <w:jc w:val="both"/>
        <w:rPr>
          <w:rFonts w:cs="Calibri"/>
        </w:rPr>
      </w:pPr>
    </w:p>
    <w:p w14:paraId="1205A799" w14:textId="76F31D4A" w:rsidR="00580B3B" w:rsidRPr="0059069F" w:rsidRDefault="00580B3B" w:rsidP="00580B3B">
      <w:pPr>
        <w:jc w:val="both"/>
        <w:rPr>
          <w:rFonts w:cs="Calibri"/>
        </w:rPr>
      </w:pPr>
      <w:r w:rsidRPr="0059069F">
        <w:rPr>
          <w:rFonts w:cs="Calibri"/>
        </w:rPr>
        <w:t>Εάν ο φοιτητής/</w:t>
      </w:r>
      <w:proofErr w:type="spellStart"/>
      <w:r w:rsidRPr="0059069F">
        <w:rPr>
          <w:rFonts w:cs="Calibri"/>
        </w:rPr>
        <w:t>τρια</w:t>
      </w:r>
      <w:proofErr w:type="spellEnd"/>
      <w:r w:rsidRPr="0059069F">
        <w:rPr>
          <w:rFonts w:cs="Calibri"/>
        </w:rPr>
        <w:t xml:space="preserve"> έχει εισαχθεί στην </w:t>
      </w:r>
      <w:r w:rsidRPr="0059069F">
        <w:t xml:space="preserve">Τριτοβάθμια Εκπαίδευση χωρίς εξετάσεις με την ειδική κατηγορία των ατόμων που πάσχουν από σοβαρές παθήσεις, σύμφωνα με τις διατάξεις του άρθρου 35 του ν. 3794/2009 (ΦΕΚ.156/Α’), δεν απαιτείται η υποβολή δικαιολογητικών καθώς έχουν ήδη προσκομιστεί κατά την εγγραφή στο οικείο Τμήμα. </w:t>
      </w:r>
    </w:p>
    <w:p w14:paraId="0249831B" w14:textId="593747E6" w:rsidR="00580B3B" w:rsidRPr="0059069F" w:rsidRDefault="00580B3B" w:rsidP="00580B3B">
      <w:pPr>
        <w:jc w:val="both"/>
        <w:rPr>
          <w:rFonts w:cs="Calibri"/>
        </w:rPr>
      </w:pPr>
    </w:p>
    <w:p w14:paraId="55A2DD2F" w14:textId="7F0A34F9" w:rsidR="00580B3B" w:rsidRPr="0059069F" w:rsidRDefault="0071606F" w:rsidP="00580B3B">
      <w:pPr>
        <w:jc w:val="both"/>
        <w:rPr>
          <w:rFonts w:cs="Calibri"/>
        </w:rPr>
      </w:pPr>
      <w:r w:rsidRPr="0059069F">
        <w:rPr>
          <w:rFonts w:cs="Calibri"/>
        </w:rPr>
        <w:t>Σε κάθε περίπτωση, ε</w:t>
      </w:r>
      <w:r w:rsidR="00580B3B" w:rsidRPr="0059069F">
        <w:rPr>
          <w:rFonts w:cs="Calibri"/>
        </w:rPr>
        <w:t>άν η γνωμάτευση του αρμόδιου φορέα αφορά συγκεκριμένο χρονικό διάστημα για την πιστοποίηση της αναπηρίας, οι φοιτητές/</w:t>
      </w:r>
      <w:proofErr w:type="spellStart"/>
      <w:r w:rsidR="00580B3B" w:rsidRPr="0059069F">
        <w:rPr>
          <w:rFonts w:cs="Calibri"/>
        </w:rPr>
        <w:t>τριες</w:t>
      </w:r>
      <w:proofErr w:type="spellEnd"/>
      <w:r w:rsidR="00580B3B" w:rsidRPr="0059069F">
        <w:rPr>
          <w:rFonts w:cs="Calibri"/>
        </w:rPr>
        <w:t xml:space="preserve"> υποχρεούνται να προσκομίζουν νέα γνωμάτευση για τη χρήση του δικαιώματος εξαίρεσης από την ανώτατη διάρκεια φοίτησης. Διευκρινίζεται ότι σε περιπτώσεις όπου η πιστοποίηση αναπηρίας είναι ορισμένης διάρκειας και δεν προσκομίζεται νέα γνωμάτευση, το χρονικό διάστημα της πιστοποιημένης αναπηρίας δεν </w:t>
      </w:r>
      <w:proofErr w:type="spellStart"/>
      <w:r w:rsidR="00580B3B" w:rsidRPr="0059069F">
        <w:rPr>
          <w:rFonts w:cs="Calibri"/>
        </w:rPr>
        <w:t>προσμετράται</w:t>
      </w:r>
      <w:proofErr w:type="spellEnd"/>
      <w:r w:rsidR="00580B3B" w:rsidRPr="0059069F">
        <w:rPr>
          <w:rFonts w:cs="Calibri"/>
        </w:rPr>
        <w:t xml:space="preserve"> για την συμπλήρωση της ανώτατης χρονικής διάρκειας.</w:t>
      </w:r>
    </w:p>
    <w:p w14:paraId="38CE1906" w14:textId="77777777" w:rsidR="00580B3B" w:rsidRPr="0059069F" w:rsidRDefault="00580B3B" w:rsidP="00580B3B">
      <w:pPr>
        <w:jc w:val="both"/>
        <w:rPr>
          <w:rFonts w:cs="Calibri"/>
        </w:rPr>
      </w:pPr>
    </w:p>
    <w:p w14:paraId="417DF075" w14:textId="77777777" w:rsidR="00580B3B" w:rsidRPr="0059069F" w:rsidRDefault="00580B3B" w:rsidP="00580B3B">
      <w:pPr>
        <w:jc w:val="both"/>
        <w:rPr>
          <w:rFonts w:cs="Calibri"/>
        </w:rPr>
      </w:pPr>
    </w:p>
    <w:p w14:paraId="177E9DA9" w14:textId="547FFF98" w:rsidR="00580B3B" w:rsidRPr="0059069F" w:rsidRDefault="00580B3B" w:rsidP="00580B3B">
      <w:pPr>
        <w:spacing w:after="240"/>
        <w:jc w:val="center"/>
        <w:rPr>
          <w:rFonts w:cs="Calibri"/>
          <w:b/>
          <w:bCs/>
        </w:rPr>
      </w:pPr>
      <w:r w:rsidRPr="0059069F">
        <w:rPr>
          <w:rFonts w:cs="Calibri"/>
          <w:b/>
          <w:bCs/>
        </w:rPr>
        <w:t xml:space="preserve">Άρθρο </w:t>
      </w:r>
      <w:r w:rsidR="005E4150" w:rsidRPr="0059069F">
        <w:rPr>
          <w:rFonts w:cs="Calibri"/>
          <w:b/>
          <w:bCs/>
        </w:rPr>
        <w:t>6</w:t>
      </w:r>
    </w:p>
    <w:p w14:paraId="73362B38" w14:textId="78261A49" w:rsidR="005E4150" w:rsidRPr="0059069F" w:rsidRDefault="005E4150" w:rsidP="005E4150">
      <w:pPr>
        <w:pStyle w:val="Web"/>
        <w:shd w:val="clear" w:color="auto" w:fill="FFFFFF"/>
        <w:jc w:val="both"/>
        <w:rPr>
          <w:rFonts w:asciiTheme="minorHAnsi" w:hAnsiTheme="minorHAnsi" w:cstheme="minorHAnsi"/>
        </w:rPr>
      </w:pPr>
      <w:proofErr w:type="spellStart"/>
      <w:r w:rsidRPr="0059069F">
        <w:rPr>
          <w:rFonts w:ascii="Calibri" w:hAnsi="Calibri" w:cs="Calibri"/>
        </w:rPr>
        <w:t>Φοιτητές</w:t>
      </w:r>
      <w:proofErr w:type="spellEnd"/>
      <w:r w:rsidR="008115B9" w:rsidRPr="0059069F">
        <w:rPr>
          <w:rFonts w:ascii="Calibri" w:hAnsi="Calibri" w:cs="Calibri"/>
        </w:rPr>
        <w:t>/</w:t>
      </w:r>
      <w:proofErr w:type="spellStart"/>
      <w:r w:rsidR="008115B9" w:rsidRPr="0059069F">
        <w:rPr>
          <w:rFonts w:ascii="Calibri" w:hAnsi="Calibri" w:cs="Calibri"/>
        </w:rPr>
        <w:t>τριες</w:t>
      </w:r>
      <w:proofErr w:type="spellEnd"/>
      <w:r w:rsidRPr="0059069F">
        <w:rPr>
          <w:rFonts w:ascii="Calibri" w:hAnsi="Calibri" w:cs="Calibri"/>
        </w:rPr>
        <w:t xml:space="preserve"> που </w:t>
      </w:r>
      <w:proofErr w:type="spellStart"/>
      <w:r w:rsidRPr="0059069F">
        <w:rPr>
          <w:rFonts w:ascii="Calibri" w:hAnsi="Calibri" w:cs="Calibri"/>
        </w:rPr>
        <w:t>συμπληρώνουν</w:t>
      </w:r>
      <w:proofErr w:type="spellEnd"/>
      <w:r w:rsidRPr="0059069F">
        <w:rPr>
          <w:rFonts w:ascii="Calibri" w:hAnsi="Calibri" w:cs="Calibri"/>
        </w:rPr>
        <w:t xml:space="preserve"> το χρονικό διάστημα της ανώτατης διάρκειας φοίτησης, </w:t>
      </w:r>
      <w:proofErr w:type="spellStart"/>
      <w:r w:rsidRPr="0059069F">
        <w:rPr>
          <w:rFonts w:ascii="Calibri" w:hAnsi="Calibri" w:cs="Calibri"/>
        </w:rPr>
        <w:t>όπως</w:t>
      </w:r>
      <w:proofErr w:type="spellEnd"/>
      <w:r w:rsidRPr="0059069F">
        <w:rPr>
          <w:rFonts w:ascii="Calibri" w:hAnsi="Calibri" w:cs="Calibri"/>
        </w:rPr>
        <w:t xml:space="preserve"> </w:t>
      </w:r>
      <w:proofErr w:type="spellStart"/>
      <w:r w:rsidRPr="0059069F">
        <w:rPr>
          <w:rFonts w:ascii="Calibri" w:hAnsi="Calibri" w:cs="Calibri"/>
        </w:rPr>
        <w:t>αυτο</w:t>
      </w:r>
      <w:proofErr w:type="spellEnd"/>
      <w:r w:rsidRPr="0059069F">
        <w:rPr>
          <w:rFonts w:ascii="Calibri" w:hAnsi="Calibri" w:cs="Calibri"/>
        </w:rPr>
        <w:t xml:space="preserve">́ ορίζεται </w:t>
      </w:r>
      <w:proofErr w:type="spellStart"/>
      <w:r w:rsidRPr="0059069F">
        <w:rPr>
          <w:rFonts w:ascii="Calibri" w:hAnsi="Calibri" w:cs="Calibri"/>
        </w:rPr>
        <w:t>ανα</w:t>
      </w:r>
      <w:proofErr w:type="spellEnd"/>
      <w:r w:rsidRPr="0059069F">
        <w:rPr>
          <w:rFonts w:ascii="Calibri" w:hAnsi="Calibri" w:cs="Calibri"/>
        </w:rPr>
        <w:t xml:space="preserve">́ κατηγορία </w:t>
      </w:r>
      <w:proofErr w:type="spellStart"/>
      <w:r w:rsidRPr="0059069F">
        <w:rPr>
          <w:rFonts w:ascii="Calibri" w:hAnsi="Calibri" w:cs="Calibri"/>
        </w:rPr>
        <w:t>φοιτητών</w:t>
      </w:r>
      <w:proofErr w:type="spellEnd"/>
      <w:r w:rsidR="008115B9" w:rsidRPr="0059069F">
        <w:rPr>
          <w:rFonts w:ascii="Calibri" w:hAnsi="Calibri" w:cs="Calibri"/>
        </w:rPr>
        <w:t>/τριών</w:t>
      </w:r>
      <w:r w:rsidRPr="0059069F">
        <w:rPr>
          <w:rFonts w:ascii="Calibri" w:hAnsi="Calibri" w:cs="Calibri"/>
        </w:rPr>
        <w:t xml:space="preserve"> στα </w:t>
      </w:r>
      <w:proofErr w:type="spellStart"/>
      <w:r w:rsidRPr="0059069F">
        <w:rPr>
          <w:rFonts w:ascii="Calibri" w:hAnsi="Calibri" w:cs="Calibri"/>
        </w:rPr>
        <w:t>άρθρα</w:t>
      </w:r>
      <w:proofErr w:type="spellEnd"/>
      <w:r w:rsidRPr="0059069F">
        <w:rPr>
          <w:rFonts w:ascii="Calibri" w:hAnsi="Calibri" w:cs="Calibri"/>
        </w:rPr>
        <w:t xml:space="preserve"> 1 έως 4 του παρόντος Κανονισμού, δύνανται να υποβάλουν αίτηση για παράταση της διάρκειας φοίτησής τους εφόσον πληρούν σωρευτικά τις ακόλουθες προϋποθέσεις</w:t>
      </w:r>
      <w:r w:rsidRPr="0059069F">
        <w:rPr>
          <w:rFonts w:asciiTheme="minorHAnsi" w:hAnsiTheme="minorHAnsi" w:cstheme="minorHAnsi"/>
        </w:rPr>
        <w:t>: α) κατά τον χρόνο υποβολής της αίτησης έχουν αξιολογηθεί επιτυχώς σε ποσοστό τουλάχιστον εβδομήντα τοις εκατό (70%) των πιστωτικών μονάδων (</w:t>
      </w:r>
      <w:r w:rsidRPr="0059069F">
        <w:rPr>
          <w:rFonts w:asciiTheme="minorHAnsi" w:hAnsiTheme="minorHAnsi" w:cstheme="minorHAnsi"/>
          <w:lang w:val="en-US"/>
        </w:rPr>
        <w:t>ECTS</w:t>
      </w:r>
      <w:r w:rsidRPr="0059069F">
        <w:rPr>
          <w:rFonts w:asciiTheme="minorHAnsi" w:hAnsiTheme="minorHAnsi" w:cstheme="minorHAnsi"/>
        </w:rPr>
        <w:t>) του ισχύοντος προγράμματος και β) έχουν συμμετάσχει σε τουλάχιστον δύο (2) ακαδημαϊκές δοκιμασίες σύμφωνα με το πρόγραμμα σπουδών, εκ των οποίων στη μία επιτυχώς, σε ένα από τα τέσσερα (4) προηγούμενα ακαδημαϊκά εξάμηνα πριν από την υποβολή της αίτησης. Κατά τον υπολογισμό της περιόδου των τεσσάρων (4) ακαδημαϊκών εξαμήνων περιλαμβάνονται όλες οι εξεταστικές περίοδοι (χειμερινό, εαρινό και επαναληπτική εξεταστική). Ως επιτυχής ακαδημαϊκή δοκιμασία νοείται η επιτυχής αξιολόγηση σε μάθημα μέσω γραπτής ή προφορικής εξέτασης, η παράδοση απαλλακτικής εργασίας, η εκπόνηση/υποστήριξη διπλωματικής ή πτυχιακής εργασίας και η διενέργεια πρακτικής άσκησης.</w:t>
      </w:r>
    </w:p>
    <w:p w14:paraId="3B80BBA5" w14:textId="6CE38B94" w:rsidR="005E4150" w:rsidRPr="0059069F" w:rsidRDefault="005E4150" w:rsidP="005E4150">
      <w:pPr>
        <w:pStyle w:val="Web"/>
        <w:shd w:val="clear" w:color="auto" w:fill="FFFFFF"/>
        <w:jc w:val="both"/>
        <w:rPr>
          <w:rFonts w:ascii="Calibri" w:hAnsi="Calibri" w:cs="Calibri"/>
        </w:rPr>
      </w:pPr>
      <w:r w:rsidRPr="0059069F">
        <w:rPr>
          <w:rFonts w:ascii="Calibri" w:hAnsi="Calibri" w:cs="Calibri"/>
        </w:rPr>
        <w:t xml:space="preserve">Ο </w:t>
      </w:r>
      <w:proofErr w:type="spellStart"/>
      <w:r w:rsidRPr="0059069F">
        <w:rPr>
          <w:rFonts w:ascii="Calibri" w:hAnsi="Calibri" w:cs="Calibri"/>
        </w:rPr>
        <w:t>χρόνος</w:t>
      </w:r>
      <w:proofErr w:type="spellEnd"/>
      <w:r w:rsidRPr="0059069F">
        <w:rPr>
          <w:rFonts w:ascii="Calibri" w:hAnsi="Calibri" w:cs="Calibri"/>
        </w:rPr>
        <w:t xml:space="preserve"> </w:t>
      </w:r>
      <w:proofErr w:type="spellStart"/>
      <w:r w:rsidRPr="0059069F">
        <w:rPr>
          <w:rFonts w:ascii="Calibri" w:hAnsi="Calibri" w:cs="Calibri"/>
        </w:rPr>
        <w:t>παράτασης</w:t>
      </w:r>
      <w:proofErr w:type="spellEnd"/>
      <w:r w:rsidRPr="0059069F">
        <w:rPr>
          <w:rFonts w:ascii="Calibri" w:hAnsi="Calibri" w:cs="Calibri"/>
        </w:rPr>
        <w:t xml:space="preserve"> για </w:t>
      </w:r>
      <w:r w:rsidR="008115B9" w:rsidRPr="0059069F">
        <w:rPr>
          <w:rFonts w:ascii="Calibri" w:hAnsi="Calibri" w:cs="Calibri"/>
        </w:rPr>
        <w:t>τους/τις</w:t>
      </w:r>
      <w:r w:rsidRPr="0059069F">
        <w:rPr>
          <w:rFonts w:ascii="Calibri" w:hAnsi="Calibri" w:cs="Calibri"/>
        </w:rPr>
        <w:t xml:space="preserve"> </w:t>
      </w:r>
      <w:proofErr w:type="spellStart"/>
      <w:r w:rsidRPr="0059069F">
        <w:rPr>
          <w:rFonts w:ascii="Calibri" w:hAnsi="Calibri" w:cs="Calibri"/>
        </w:rPr>
        <w:t>φοιτητές</w:t>
      </w:r>
      <w:proofErr w:type="spellEnd"/>
      <w:r w:rsidR="008115B9" w:rsidRPr="0059069F">
        <w:rPr>
          <w:rFonts w:ascii="Calibri" w:hAnsi="Calibri" w:cs="Calibri"/>
        </w:rPr>
        <w:t>/</w:t>
      </w:r>
      <w:proofErr w:type="spellStart"/>
      <w:r w:rsidR="008115B9" w:rsidRPr="0059069F">
        <w:rPr>
          <w:rFonts w:ascii="Calibri" w:hAnsi="Calibri" w:cs="Calibri"/>
        </w:rPr>
        <w:t>τριες</w:t>
      </w:r>
      <w:proofErr w:type="spellEnd"/>
      <w:r w:rsidRPr="0059069F">
        <w:rPr>
          <w:rFonts w:ascii="Calibri" w:hAnsi="Calibri" w:cs="Calibri"/>
        </w:rPr>
        <w:t xml:space="preserve"> που </w:t>
      </w:r>
      <w:proofErr w:type="spellStart"/>
      <w:r w:rsidRPr="0059069F">
        <w:rPr>
          <w:rFonts w:ascii="Calibri" w:hAnsi="Calibri" w:cs="Calibri"/>
        </w:rPr>
        <w:t>πληρούν</w:t>
      </w:r>
      <w:proofErr w:type="spellEnd"/>
      <w:r w:rsidRPr="0059069F">
        <w:rPr>
          <w:rFonts w:ascii="Calibri" w:hAnsi="Calibri" w:cs="Calibri"/>
        </w:rPr>
        <w:t xml:space="preserve"> τις </w:t>
      </w:r>
      <w:proofErr w:type="spellStart"/>
      <w:r w:rsidRPr="0059069F">
        <w:rPr>
          <w:rFonts w:ascii="Calibri" w:hAnsi="Calibri" w:cs="Calibri"/>
        </w:rPr>
        <w:t>προϋποθέσεις</w:t>
      </w:r>
      <w:proofErr w:type="spellEnd"/>
      <w:r w:rsidRPr="0059069F">
        <w:rPr>
          <w:rFonts w:ascii="Calibri" w:hAnsi="Calibri" w:cs="Calibri"/>
        </w:rPr>
        <w:t xml:space="preserve"> των περ. α) και β) της παρ. 1, κατά τον χρόνο υποβολής της αίτησης, διαμορφώνεται ως ακολούθως:</w:t>
      </w:r>
    </w:p>
    <w:p w14:paraId="6F73181C" w14:textId="3D39A17C" w:rsidR="00580B3B" w:rsidRPr="0059069F" w:rsidRDefault="005E4150" w:rsidP="005E4150">
      <w:pPr>
        <w:pStyle w:val="Web"/>
        <w:numPr>
          <w:ilvl w:val="0"/>
          <w:numId w:val="3"/>
        </w:numPr>
        <w:shd w:val="clear" w:color="auto" w:fill="FFFFFF"/>
        <w:jc w:val="both"/>
        <w:rPr>
          <w:rFonts w:asciiTheme="minorHAnsi" w:hAnsiTheme="minorHAnsi" w:cstheme="minorHAnsi"/>
        </w:rPr>
      </w:pPr>
      <w:r w:rsidRPr="0059069F">
        <w:rPr>
          <w:rFonts w:asciiTheme="minorHAnsi" w:hAnsiTheme="minorHAnsi" w:cstheme="minorHAnsi"/>
        </w:rPr>
        <w:t>Δ</w:t>
      </w:r>
      <w:r w:rsidR="00580B3B" w:rsidRPr="0059069F">
        <w:rPr>
          <w:rFonts w:asciiTheme="minorHAnsi" w:hAnsiTheme="minorHAnsi" w:cstheme="minorHAnsi"/>
        </w:rPr>
        <w:t>ύο (2) ακαδημαϊκά εξάμηνα</w:t>
      </w:r>
      <w:r w:rsidRPr="0059069F">
        <w:rPr>
          <w:rFonts w:asciiTheme="minorHAnsi" w:hAnsiTheme="minorHAnsi" w:cstheme="minorHAnsi"/>
        </w:rPr>
        <w:t xml:space="preserve"> για </w:t>
      </w:r>
      <w:r w:rsidR="008115B9" w:rsidRPr="0059069F">
        <w:rPr>
          <w:rFonts w:asciiTheme="minorHAnsi" w:hAnsiTheme="minorHAnsi" w:cstheme="minorHAnsi"/>
        </w:rPr>
        <w:t>τους/τις</w:t>
      </w:r>
      <w:r w:rsidRPr="0059069F">
        <w:rPr>
          <w:rFonts w:asciiTheme="minorHAnsi" w:hAnsiTheme="minorHAnsi" w:cstheme="minorHAnsi"/>
        </w:rPr>
        <w:t xml:space="preserve"> φοιτητές/</w:t>
      </w:r>
      <w:proofErr w:type="spellStart"/>
      <w:r w:rsidRPr="0059069F">
        <w:rPr>
          <w:rFonts w:asciiTheme="minorHAnsi" w:hAnsiTheme="minorHAnsi" w:cstheme="minorHAnsi"/>
        </w:rPr>
        <w:t>τριες</w:t>
      </w:r>
      <w:proofErr w:type="spellEnd"/>
      <w:r w:rsidRPr="0059069F">
        <w:rPr>
          <w:rFonts w:asciiTheme="minorHAnsi" w:hAnsiTheme="minorHAnsi" w:cstheme="minorHAnsi"/>
        </w:rPr>
        <w:t xml:space="preserve"> όλων των προγραμμάτων σπουδών πρώτου κύκλου.</w:t>
      </w:r>
    </w:p>
    <w:p w14:paraId="2D70E176" w14:textId="37328DBC" w:rsidR="00580B3B" w:rsidRPr="0059069F" w:rsidRDefault="005E4150" w:rsidP="00580B3B">
      <w:pPr>
        <w:pStyle w:val="a4"/>
        <w:numPr>
          <w:ilvl w:val="0"/>
          <w:numId w:val="3"/>
        </w:numPr>
        <w:spacing w:after="0" w:line="240" w:lineRule="auto"/>
        <w:contextualSpacing/>
        <w:jc w:val="both"/>
        <w:rPr>
          <w:rFonts w:asciiTheme="minorHAnsi" w:hAnsiTheme="minorHAnsi" w:cstheme="minorHAnsi"/>
          <w:sz w:val="24"/>
          <w:szCs w:val="24"/>
        </w:rPr>
      </w:pPr>
      <w:r w:rsidRPr="0059069F">
        <w:rPr>
          <w:rFonts w:asciiTheme="minorHAnsi" w:hAnsiTheme="minorHAnsi" w:cstheme="minorHAnsi"/>
          <w:sz w:val="24"/>
          <w:szCs w:val="24"/>
        </w:rPr>
        <w:t>Τρία (3) ακαδημαϊκά εξάμηνα ε</w:t>
      </w:r>
      <w:r w:rsidR="00580B3B" w:rsidRPr="0059069F">
        <w:rPr>
          <w:rFonts w:asciiTheme="minorHAnsi" w:hAnsiTheme="minorHAnsi" w:cstheme="minorHAnsi"/>
          <w:sz w:val="24"/>
          <w:szCs w:val="24"/>
        </w:rPr>
        <w:t xml:space="preserve">άν το πρόγραμμα σπουδών </w:t>
      </w:r>
      <w:r w:rsidRPr="0059069F">
        <w:rPr>
          <w:rFonts w:asciiTheme="minorHAnsi" w:hAnsiTheme="minorHAnsi" w:cstheme="minorHAnsi"/>
          <w:sz w:val="24"/>
          <w:szCs w:val="24"/>
        </w:rPr>
        <w:t xml:space="preserve">φοίτησης </w:t>
      </w:r>
      <w:r w:rsidR="00580B3B" w:rsidRPr="0059069F">
        <w:rPr>
          <w:rFonts w:asciiTheme="minorHAnsi" w:hAnsiTheme="minorHAnsi" w:cstheme="minorHAnsi"/>
          <w:sz w:val="24"/>
          <w:szCs w:val="24"/>
        </w:rPr>
        <w:t>περιλαμβάνει την υποχρεωτική εκπόνηση πρακτικής άσκησης ή πτυχιακής ή διπλωματικής εργασίας, η οποία δεν έχει ολοκληρωθεί</w:t>
      </w:r>
      <w:r w:rsidR="0071606F" w:rsidRPr="0059069F">
        <w:rPr>
          <w:rFonts w:asciiTheme="minorHAnsi" w:hAnsiTheme="minorHAnsi" w:cstheme="minorHAnsi"/>
          <w:sz w:val="24"/>
          <w:szCs w:val="24"/>
        </w:rPr>
        <w:t xml:space="preserve"> έως τον χρόνο υποβολής της αίτησης</w:t>
      </w:r>
      <w:r w:rsidR="00580B3B" w:rsidRPr="0059069F">
        <w:rPr>
          <w:rFonts w:asciiTheme="minorHAnsi" w:hAnsiTheme="minorHAnsi" w:cstheme="minorHAnsi"/>
          <w:sz w:val="24"/>
          <w:szCs w:val="24"/>
        </w:rPr>
        <w:t>, και συντρέχουν οι προϋποθέσεις της περ. 1</w:t>
      </w:r>
      <w:r w:rsidRPr="0059069F">
        <w:rPr>
          <w:rFonts w:asciiTheme="minorHAnsi" w:hAnsiTheme="minorHAnsi" w:cstheme="minorHAnsi"/>
          <w:sz w:val="24"/>
          <w:szCs w:val="24"/>
        </w:rPr>
        <w:t>.</w:t>
      </w:r>
    </w:p>
    <w:p w14:paraId="5E8625EF" w14:textId="4436884E" w:rsidR="00580B3B" w:rsidRPr="0059069F" w:rsidRDefault="003F1B34" w:rsidP="00580B3B">
      <w:pPr>
        <w:pStyle w:val="a4"/>
        <w:numPr>
          <w:ilvl w:val="0"/>
          <w:numId w:val="3"/>
        </w:numPr>
        <w:spacing w:after="0" w:line="240" w:lineRule="auto"/>
        <w:contextualSpacing/>
        <w:jc w:val="both"/>
        <w:rPr>
          <w:rFonts w:asciiTheme="minorHAnsi" w:hAnsiTheme="minorHAnsi" w:cstheme="minorHAnsi"/>
          <w:sz w:val="24"/>
          <w:szCs w:val="24"/>
        </w:rPr>
      </w:pPr>
      <w:r w:rsidRPr="0059069F">
        <w:rPr>
          <w:rFonts w:asciiTheme="minorHAnsi" w:hAnsiTheme="minorHAnsi" w:cstheme="minorHAnsi"/>
          <w:sz w:val="24"/>
          <w:szCs w:val="24"/>
        </w:rPr>
        <w:t>Για</w:t>
      </w:r>
      <w:r w:rsidR="00580B3B" w:rsidRPr="0059069F">
        <w:rPr>
          <w:rFonts w:asciiTheme="minorHAnsi" w:hAnsiTheme="minorHAnsi" w:cstheme="minorHAnsi"/>
          <w:sz w:val="24"/>
          <w:szCs w:val="24"/>
        </w:rPr>
        <w:t xml:space="preserve"> φοιτητές/</w:t>
      </w:r>
      <w:proofErr w:type="spellStart"/>
      <w:r w:rsidR="00580B3B" w:rsidRPr="0059069F">
        <w:rPr>
          <w:rFonts w:asciiTheme="minorHAnsi" w:hAnsiTheme="minorHAnsi" w:cstheme="minorHAnsi"/>
          <w:sz w:val="24"/>
          <w:szCs w:val="24"/>
        </w:rPr>
        <w:t>τριες</w:t>
      </w:r>
      <w:proofErr w:type="spellEnd"/>
      <w:r w:rsidR="00580B3B" w:rsidRPr="0059069F">
        <w:rPr>
          <w:rFonts w:asciiTheme="minorHAnsi" w:hAnsiTheme="minorHAnsi" w:cstheme="minorHAnsi"/>
          <w:sz w:val="24"/>
          <w:szCs w:val="24"/>
        </w:rPr>
        <w:t xml:space="preserve"> που έχουν αξιολογηθεί επιτυχώς στο σύνολο των μαθημάτων του ισχύοντος προγράμματος σπουδών και εκκρεμεί μόνο η εκπόνηση </w:t>
      </w:r>
      <w:r w:rsidRPr="0059069F">
        <w:rPr>
          <w:rFonts w:asciiTheme="minorHAnsi" w:hAnsiTheme="minorHAnsi" w:cstheme="minorHAnsi"/>
          <w:sz w:val="24"/>
          <w:szCs w:val="24"/>
        </w:rPr>
        <w:t xml:space="preserve">ή η ολοκλήρωση της υποχρεωτικής </w:t>
      </w:r>
      <w:r w:rsidR="00580B3B" w:rsidRPr="0059069F">
        <w:rPr>
          <w:rFonts w:asciiTheme="minorHAnsi" w:hAnsiTheme="minorHAnsi" w:cstheme="minorHAnsi"/>
          <w:sz w:val="24"/>
          <w:szCs w:val="24"/>
        </w:rPr>
        <w:t>πρακτικής άσκησης ή πτυχιακής ή διπλωματικής εργασίας για τη λήψη πτυχίου</w:t>
      </w:r>
      <w:r w:rsidRPr="0059069F">
        <w:rPr>
          <w:rFonts w:asciiTheme="minorHAnsi" w:hAnsiTheme="minorHAnsi" w:cstheme="minorHAnsi"/>
          <w:sz w:val="24"/>
          <w:szCs w:val="24"/>
        </w:rPr>
        <w:t>,</w:t>
      </w:r>
      <w:r w:rsidR="00580B3B" w:rsidRPr="0059069F">
        <w:rPr>
          <w:rFonts w:asciiTheme="minorHAnsi" w:hAnsiTheme="minorHAnsi" w:cstheme="minorHAnsi"/>
          <w:sz w:val="24"/>
          <w:szCs w:val="24"/>
        </w:rPr>
        <w:t xml:space="preserve"> δεν απαιτείται η πλήρωση των προϋποθέσεων της περ. 1 (β)</w:t>
      </w:r>
      <w:r w:rsidRPr="0059069F">
        <w:rPr>
          <w:rFonts w:asciiTheme="minorHAnsi" w:hAnsiTheme="minorHAnsi" w:cstheme="minorHAnsi"/>
          <w:sz w:val="24"/>
          <w:szCs w:val="24"/>
        </w:rPr>
        <w:t>. Και στην εν λόγω περίπτωση, η διάρκεια φοίτησης παρατείνεται για τρία (3) ακαδημαϊκά εξάμηνα.</w:t>
      </w:r>
    </w:p>
    <w:p w14:paraId="7B17FACA" w14:textId="77777777" w:rsidR="0071606F" w:rsidRPr="0059069F" w:rsidRDefault="0071606F" w:rsidP="0071606F">
      <w:pPr>
        <w:pStyle w:val="a4"/>
        <w:spacing w:after="0" w:line="240" w:lineRule="auto"/>
        <w:ind w:left="360"/>
        <w:contextualSpacing/>
        <w:jc w:val="both"/>
        <w:rPr>
          <w:sz w:val="24"/>
          <w:szCs w:val="24"/>
        </w:rPr>
      </w:pPr>
    </w:p>
    <w:p w14:paraId="20A90653" w14:textId="79147595" w:rsidR="003F1B34" w:rsidRPr="0059069F" w:rsidRDefault="003F1B34" w:rsidP="003F1B34">
      <w:pPr>
        <w:jc w:val="both"/>
        <w:rPr>
          <w:rFonts w:cs="Calibri"/>
        </w:rPr>
      </w:pPr>
      <w:r w:rsidRPr="0059069F">
        <w:rPr>
          <w:rFonts w:cs="Calibri"/>
        </w:rPr>
        <w:t xml:space="preserve">Διευκρινίζεται, ότι για την εφαρμογή του κριτηρίου της περ. (α) της παρ. 1 του παρόντος άρθρου σχετικά με τον υπολογισμό του αριθμού πιστωτικών μονάδων που έχει συγκεντρώσει κάθε </w:t>
      </w:r>
      <w:r w:rsidRPr="0059069F">
        <w:rPr>
          <w:rFonts w:cs="Calibri"/>
        </w:rPr>
        <w:lastRenderedPageBreak/>
        <w:t>φοιτητής</w:t>
      </w:r>
      <w:r w:rsidR="008115B9" w:rsidRPr="0059069F">
        <w:rPr>
          <w:rFonts w:cs="Calibri"/>
        </w:rPr>
        <w:t>/</w:t>
      </w:r>
      <w:proofErr w:type="spellStart"/>
      <w:r w:rsidR="008115B9" w:rsidRPr="0059069F">
        <w:rPr>
          <w:rFonts w:cs="Calibri"/>
        </w:rPr>
        <w:t>τρια</w:t>
      </w:r>
      <w:proofErr w:type="spellEnd"/>
      <w:r w:rsidRPr="0059069F">
        <w:rPr>
          <w:rFonts w:cs="Calibri"/>
        </w:rPr>
        <w:t xml:space="preserve"> για πρόγραμμα σπουδών πρώτου κύκλου, πριν την εφαρμογή του ευρωπαϊκού συστήματος μεταφοράς και συσσώρευσης πιστωτικών μονάδων (</w:t>
      </w:r>
      <w:r w:rsidRPr="0059069F">
        <w:rPr>
          <w:rFonts w:cs="Calibri"/>
          <w:lang w:val="en-US"/>
        </w:rPr>
        <w:t>ECTS</w:t>
      </w:r>
      <w:r w:rsidRPr="0059069F">
        <w:rPr>
          <w:rFonts w:cs="Calibri"/>
        </w:rPr>
        <w:t xml:space="preserve">), απαιτείται η προηγούμενη αντιστοίχιση του προγράμματος σπουδών κατά τις ειδικότερες προβλέψεις που έχει ορίσει το Τμήμα ή η </w:t>
      </w:r>
      <w:proofErr w:type="spellStart"/>
      <w:r w:rsidRPr="0059069F">
        <w:rPr>
          <w:rFonts w:cs="Calibri"/>
        </w:rPr>
        <w:t>Μονοτμηματική</w:t>
      </w:r>
      <w:proofErr w:type="spellEnd"/>
      <w:r w:rsidRPr="0059069F">
        <w:rPr>
          <w:rFonts w:cs="Calibri"/>
        </w:rPr>
        <w:t xml:space="preserve"> Σχολή.</w:t>
      </w:r>
    </w:p>
    <w:p w14:paraId="617BFDF9" w14:textId="4A0476F4" w:rsidR="0071606F" w:rsidRPr="0059069F" w:rsidRDefault="003F1B34" w:rsidP="0071606F">
      <w:pPr>
        <w:pStyle w:val="Web"/>
        <w:shd w:val="clear" w:color="auto" w:fill="FFFFFF"/>
        <w:jc w:val="both"/>
        <w:rPr>
          <w:rFonts w:asciiTheme="minorHAnsi" w:hAnsiTheme="minorHAnsi" w:cstheme="minorHAnsi"/>
        </w:rPr>
      </w:pPr>
      <w:r w:rsidRPr="0059069F">
        <w:rPr>
          <w:rFonts w:ascii="Calibri" w:hAnsi="Calibri" w:cs="Calibri"/>
        </w:rPr>
        <w:t>Η Γραμματεία του Τ</w:t>
      </w:r>
      <w:r w:rsidR="0071606F" w:rsidRPr="0059069F">
        <w:rPr>
          <w:rFonts w:ascii="Calibri" w:hAnsi="Calibri" w:cs="Calibri"/>
        </w:rPr>
        <w:t>μ</w:t>
      </w:r>
      <w:r w:rsidRPr="0059069F">
        <w:rPr>
          <w:rFonts w:ascii="Calibri" w:hAnsi="Calibri" w:cs="Calibri"/>
        </w:rPr>
        <w:t>ήματος ή της Μονοτμηματικής Σχολής υποχρεούται αμελλητί να ενημερώ</w:t>
      </w:r>
      <w:r w:rsidR="0071606F" w:rsidRPr="0059069F">
        <w:rPr>
          <w:rFonts w:ascii="Calibri" w:hAnsi="Calibri" w:cs="Calibri"/>
        </w:rPr>
        <w:t>ν</w:t>
      </w:r>
      <w:r w:rsidRPr="0059069F">
        <w:rPr>
          <w:rFonts w:ascii="Calibri" w:hAnsi="Calibri" w:cs="Calibri"/>
        </w:rPr>
        <w:t>ει</w:t>
      </w:r>
      <w:r w:rsidR="0071606F" w:rsidRPr="0059069F">
        <w:rPr>
          <w:rFonts w:ascii="Calibri" w:hAnsi="Calibri" w:cs="Calibri"/>
        </w:rPr>
        <w:t xml:space="preserve">, με ανάρτηση στην ιστοσελίδα του Τμήματος και κάθε άλλο πρόσφορο μέσο (όπως μαζική αποστολή μηνύματος ηλεκτρονικής αλληλογραφίας στις ακαδημαϊκές ηλεκτρονικές διευθύνσεις των φοιτητών, ανάρτηση ανακοίνωσης στην εκπαιδευτική πλατφόρμα τηλεκπαίδευσης του Τμήματος ή της Μονοτμηματικής Σχολής κ.ά.) </w:t>
      </w:r>
      <w:r w:rsidR="0071606F" w:rsidRPr="0059069F">
        <w:rPr>
          <w:rFonts w:asciiTheme="minorHAnsi" w:hAnsiTheme="minorHAnsi" w:cstheme="minorHAnsi"/>
        </w:rPr>
        <w:t xml:space="preserve">για την ακριβή ημερομηνία έκδοσης του συνόλου των αποτελεσμάτων της επαναληπτικής εξεταστικής της περιόδου Σεπτεμβρίου κάθε έτους, τη δυνατότητα άσκησης του δικαιώματος παράτασης της ανώτατης χρονικής διάρκειας, τις προϋποθέσεις, τη διαδικασία και την προθεσμία άσκησης του δικαιώματος αυτού. </w:t>
      </w:r>
    </w:p>
    <w:p w14:paraId="5B6A3942" w14:textId="37535434" w:rsidR="00580B3B" w:rsidRPr="0059069F" w:rsidRDefault="00580B3B" w:rsidP="003F1B34">
      <w:pPr>
        <w:jc w:val="both"/>
        <w:rPr>
          <w:rFonts w:cs="Calibri"/>
        </w:rPr>
      </w:pPr>
      <w:r w:rsidRPr="0059069F">
        <w:rPr>
          <w:rFonts w:cs="Calibri"/>
        </w:rPr>
        <w:t xml:space="preserve">Η αίτηση υποβάλλεται </w:t>
      </w:r>
      <w:r w:rsidR="0071606F" w:rsidRPr="0059069F">
        <w:rPr>
          <w:rFonts w:cs="Calibri"/>
        </w:rPr>
        <w:t xml:space="preserve">ηλεκτρονικά </w:t>
      </w:r>
      <w:r w:rsidRPr="0059069F">
        <w:rPr>
          <w:rFonts w:cs="Calibri"/>
        </w:rPr>
        <w:t xml:space="preserve">στη Γραμματεία του Τμήματος ή της </w:t>
      </w:r>
      <w:proofErr w:type="spellStart"/>
      <w:r w:rsidRPr="0059069F">
        <w:rPr>
          <w:rFonts w:cs="Calibri"/>
        </w:rPr>
        <w:t>Μονοτμηματικής</w:t>
      </w:r>
      <w:proofErr w:type="spellEnd"/>
      <w:r w:rsidRPr="0059069F">
        <w:rPr>
          <w:rFonts w:cs="Calibri"/>
        </w:rPr>
        <w:t xml:space="preserve"> Σχολής εντός αποκλειστικής προθεσμίας τριάντα (30) ημερών από την έκδοση </w:t>
      </w:r>
      <w:r w:rsidR="0071606F" w:rsidRPr="0059069F">
        <w:rPr>
          <w:rFonts w:cs="Calibri"/>
        </w:rPr>
        <w:t xml:space="preserve">του συνόλου </w:t>
      </w:r>
      <w:r w:rsidRPr="0059069F">
        <w:rPr>
          <w:rFonts w:cs="Calibri"/>
        </w:rPr>
        <w:t xml:space="preserve">των βαθμολογιών της εξεταστικής του Σεπτεμβρίου κατά την οποία συμπληρώνεται η ανώτατη χρονική διάρκεια φοίτησης του άρθρου 1 του παρόντος Κανονισμού. Η </w:t>
      </w:r>
      <w:r w:rsidR="00DF2299" w:rsidRPr="0059069F">
        <w:rPr>
          <w:rFonts w:asciiTheme="minorHAnsi" w:hAnsiTheme="minorHAnsi" w:cstheme="minorHAnsi"/>
        </w:rPr>
        <w:t>ακριβής</w:t>
      </w:r>
      <w:r w:rsidR="0071606F" w:rsidRPr="0059069F">
        <w:rPr>
          <w:rFonts w:asciiTheme="minorHAnsi" w:hAnsiTheme="minorHAnsi" w:cstheme="minorHAnsi"/>
        </w:rPr>
        <w:t xml:space="preserve"> ημερομηνία </w:t>
      </w:r>
      <w:r w:rsidR="00DF2299" w:rsidRPr="0059069F">
        <w:rPr>
          <w:rFonts w:asciiTheme="minorHAnsi" w:hAnsiTheme="minorHAnsi" w:cstheme="minorHAnsi"/>
        </w:rPr>
        <w:t>έκδοσης</w:t>
      </w:r>
      <w:r w:rsidR="0071606F" w:rsidRPr="0059069F">
        <w:rPr>
          <w:rFonts w:asciiTheme="minorHAnsi" w:hAnsiTheme="minorHAnsi" w:cstheme="minorHAnsi"/>
        </w:rPr>
        <w:t xml:space="preserve"> του </w:t>
      </w:r>
      <w:r w:rsidR="00DF2299" w:rsidRPr="0059069F">
        <w:rPr>
          <w:rFonts w:asciiTheme="minorHAnsi" w:hAnsiTheme="minorHAnsi" w:cstheme="minorHAnsi"/>
        </w:rPr>
        <w:t>συνόλου</w:t>
      </w:r>
      <w:r w:rsidR="0071606F" w:rsidRPr="0059069F">
        <w:rPr>
          <w:rFonts w:asciiTheme="minorHAnsi" w:hAnsiTheme="minorHAnsi" w:cstheme="minorHAnsi"/>
        </w:rPr>
        <w:t xml:space="preserve"> των </w:t>
      </w:r>
      <w:r w:rsidR="00DF2299" w:rsidRPr="0059069F">
        <w:rPr>
          <w:rFonts w:asciiTheme="minorHAnsi" w:hAnsiTheme="minorHAnsi" w:cstheme="minorHAnsi"/>
        </w:rPr>
        <w:t>αποτελεσμάτων</w:t>
      </w:r>
      <w:r w:rsidR="0071606F" w:rsidRPr="0059069F">
        <w:rPr>
          <w:rFonts w:asciiTheme="minorHAnsi" w:hAnsiTheme="minorHAnsi" w:cstheme="minorHAnsi"/>
        </w:rPr>
        <w:t xml:space="preserve"> της </w:t>
      </w:r>
      <w:r w:rsidR="00DF2299" w:rsidRPr="0059069F">
        <w:rPr>
          <w:rFonts w:asciiTheme="minorHAnsi" w:hAnsiTheme="minorHAnsi" w:cstheme="minorHAnsi"/>
        </w:rPr>
        <w:t>επαναληπτικής</w:t>
      </w:r>
      <w:r w:rsidR="0071606F" w:rsidRPr="0059069F">
        <w:rPr>
          <w:rFonts w:asciiTheme="minorHAnsi" w:hAnsiTheme="minorHAnsi" w:cstheme="minorHAnsi"/>
        </w:rPr>
        <w:t xml:space="preserve"> </w:t>
      </w:r>
      <w:r w:rsidR="00DF2299" w:rsidRPr="0059069F">
        <w:rPr>
          <w:rFonts w:asciiTheme="minorHAnsi" w:hAnsiTheme="minorHAnsi" w:cstheme="minorHAnsi"/>
        </w:rPr>
        <w:t>εξεταστικής</w:t>
      </w:r>
      <w:r w:rsidR="0071606F" w:rsidRPr="0059069F">
        <w:rPr>
          <w:rFonts w:asciiTheme="minorHAnsi" w:hAnsiTheme="minorHAnsi" w:cstheme="minorHAnsi"/>
        </w:rPr>
        <w:t xml:space="preserve"> της </w:t>
      </w:r>
      <w:r w:rsidR="00DF2299" w:rsidRPr="0059069F">
        <w:rPr>
          <w:rFonts w:asciiTheme="minorHAnsi" w:hAnsiTheme="minorHAnsi" w:cstheme="minorHAnsi"/>
        </w:rPr>
        <w:t>περιόδου</w:t>
      </w:r>
      <w:r w:rsidR="0071606F" w:rsidRPr="0059069F">
        <w:rPr>
          <w:rFonts w:asciiTheme="minorHAnsi" w:hAnsiTheme="minorHAnsi" w:cstheme="minorHAnsi"/>
        </w:rPr>
        <w:t xml:space="preserve"> Σεπτεμβρίου και η </w:t>
      </w:r>
      <w:r w:rsidRPr="0059069F">
        <w:rPr>
          <w:rFonts w:cs="Calibri"/>
        </w:rPr>
        <w:t>προθεσμία υποβολής αιτήσεων παράτασης προσδιορίζ</w:t>
      </w:r>
      <w:r w:rsidR="0071606F" w:rsidRPr="0059069F">
        <w:rPr>
          <w:rFonts w:cs="Calibri"/>
        </w:rPr>
        <w:t>ονται</w:t>
      </w:r>
      <w:r w:rsidRPr="0059069F">
        <w:rPr>
          <w:rFonts w:cs="Calibri"/>
        </w:rPr>
        <w:t xml:space="preserve"> στο ετήσιο ακαδημαϊκό  ημερολόγιο του Πανεπιστημίου Ιωαννίνων.</w:t>
      </w:r>
    </w:p>
    <w:p w14:paraId="0D5755DB" w14:textId="0FBAB365" w:rsidR="0071606F" w:rsidRPr="0059069F" w:rsidRDefault="0071606F" w:rsidP="0071606F">
      <w:pPr>
        <w:pStyle w:val="Web"/>
        <w:shd w:val="clear" w:color="auto" w:fill="FFFFFF"/>
        <w:jc w:val="both"/>
        <w:rPr>
          <w:rFonts w:asciiTheme="minorHAnsi" w:hAnsiTheme="minorHAnsi" w:cstheme="minorHAnsi"/>
        </w:rPr>
      </w:pPr>
      <w:r w:rsidRPr="0059069F">
        <w:rPr>
          <w:rFonts w:asciiTheme="minorHAnsi" w:hAnsiTheme="minorHAnsi" w:cstheme="minorHAnsi"/>
        </w:rPr>
        <w:t>Οι αιτήσεις παράτασης της ανώτατης διάρκειας φοίτησης ελέγχονται από τη Γραμματεία του Τμήματος ή της Μονοτμηματικής Σχολής ως προς την πλήρωση των προϋποθέσεων της παρ. 1</w:t>
      </w:r>
      <w:r w:rsidR="005E4150" w:rsidRPr="0059069F">
        <w:rPr>
          <w:rFonts w:asciiTheme="minorHAnsi" w:hAnsiTheme="minorHAnsi" w:cstheme="minorHAnsi"/>
        </w:rPr>
        <w:t xml:space="preserve"> του παρόντος άρθρου</w:t>
      </w:r>
      <w:r w:rsidRPr="0059069F">
        <w:rPr>
          <w:rFonts w:asciiTheme="minorHAnsi" w:hAnsiTheme="minorHAnsi" w:cstheme="minorHAnsi"/>
        </w:rPr>
        <w:t xml:space="preserve">. Κατά τον </w:t>
      </w:r>
      <w:proofErr w:type="spellStart"/>
      <w:r w:rsidRPr="0059069F">
        <w:rPr>
          <w:rFonts w:asciiTheme="minorHAnsi" w:hAnsiTheme="minorHAnsi" w:cstheme="minorHAnsi"/>
        </w:rPr>
        <w:t>έλεγχο</w:t>
      </w:r>
      <w:proofErr w:type="spellEnd"/>
      <w:r w:rsidRPr="0059069F">
        <w:rPr>
          <w:rFonts w:asciiTheme="minorHAnsi" w:hAnsiTheme="minorHAnsi" w:cstheme="minorHAnsi"/>
        </w:rPr>
        <w:t xml:space="preserve"> των </w:t>
      </w:r>
      <w:proofErr w:type="spellStart"/>
      <w:r w:rsidRPr="0059069F">
        <w:rPr>
          <w:rFonts w:asciiTheme="minorHAnsi" w:hAnsiTheme="minorHAnsi" w:cstheme="minorHAnsi"/>
        </w:rPr>
        <w:t>αιτήσεων</w:t>
      </w:r>
      <w:proofErr w:type="spellEnd"/>
      <w:r w:rsidRPr="0059069F">
        <w:rPr>
          <w:rFonts w:asciiTheme="minorHAnsi" w:hAnsiTheme="minorHAnsi" w:cstheme="minorHAnsi"/>
        </w:rPr>
        <w:t xml:space="preserve"> η Γραμματεία </w:t>
      </w:r>
      <w:proofErr w:type="spellStart"/>
      <w:r w:rsidRPr="0059069F">
        <w:rPr>
          <w:rFonts w:asciiTheme="minorHAnsi" w:hAnsiTheme="minorHAnsi" w:cstheme="minorHAnsi"/>
        </w:rPr>
        <w:t>υποχρεούται</w:t>
      </w:r>
      <w:proofErr w:type="spellEnd"/>
      <w:r w:rsidRPr="0059069F">
        <w:rPr>
          <w:rFonts w:asciiTheme="minorHAnsi" w:hAnsiTheme="minorHAnsi" w:cstheme="minorHAnsi"/>
        </w:rPr>
        <w:t xml:space="preserve"> να </w:t>
      </w:r>
      <w:proofErr w:type="spellStart"/>
      <w:r w:rsidRPr="0059069F">
        <w:rPr>
          <w:rFonts w:asciiTheme="minorHAnsi" w:hAnsiTheme="minorHAnsi" w:cstheme="minorHAnsi"/>
        </w:rPr>
        <w:t>αναζητα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τυχόν</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πρόσθετα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δικαιολογητικα</w:t>
      </w:r>
      <w:proofErr w:type="spellEnd"/>
      <w:r w:rsidRPr="0059069F">
        <w:rPr>
          <w:rFonts w:asciiTheme="minorHAnsi" w:hAnsiTheme="minorHAnsi" w:cstheme="minorHAnsi"/>
        </w:rPr>
        <w:t xml:space="preserve">́ ή στοιχεία </w:t>
      </w:r>
      <w:proofErr w:type="spellStart"/>
      <w:r w:rsidRPr="0059069F">
        <w:rPr>
          <w:rFonts w:asciiTheme="minorHAnsi" w:hAnsiTheme="minorHAnsi" w:cstheme="minorHAnsi"/>
        </w:rPr>
        <w:t>απο</w:t>
      </w:r>
      <w:proofErr w:type="spellEnd"/>
      <w:r w:rsidRPr="0059069F">
        <w:rPr>
          <w:rFonts w:asciiTheme="minorHAnsi" w:hAnsiTheme="minorHAnsi" w:cstheme="minorHAnsi"/>
        </w:rPr>
        <w:t xml:space="preserve">́ τον/την </w:t>
      </w:r>
      <w:proofErr w:type="spellStart"/>
      <w:r w:rsidRPr="0059069F">
        <w:rPr>
          <w:rFonts w:asciiTheme="minorHAnsi" w:hAnsiTheme="minorHAnsi" w:cstheme="minorHAnsi"/>
        </w:rPr>
        <w:t>αιτούντα</w:t>
      </w:r>
      <w:proofErr w:type="spellEnd"/>
      <w:r w:rsidRPr="0059069F">
        <w:rPr>
          <w:rFonts w:asciiTheme="minorHAnsi" w:hAnsiTheme="minorHAnsi" w:cstheme="minorHAnsi"/>
        </w:rPr>
        <w:t xml:space="preserve">/ούσα </w:t>
      </w:r>
      <w:proofErr w:type="spellStart"/>
      <w:r w:rsidRPr="0059069F">
        <w:rPr>
          <w:rFonts w:asciiTheme="minorHAnsi" w:hAnsiTheme="minorHAnsi" w:cstheme="minorHAnsi"/>
        </w:rPr>
        <w:t>φοιτητη</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για την </w:t>
      </w:r>
      <w:proofErr w:type="spellStart"/>
      <w:r w:rsidRPr="0059069F">
        <w:rPr>
          <w:rFonts w:asciiTheme="minorHAnsi" w:hAnsiTheme="minorHAnsi" w:cstheme="minorHAnsi"/>
        </w:rPr>
        <w:t>υποστήριξη</w:t>
      </w:r>
      <w:proofErr w:type="spellEnd"/>
      <w:r w:rsidRPr="0059069F">
        <w:rPr>
          <w:rFonts w:asciiTheme="minorHAnsi" w:hAnsiTheme="minorHAnsi" w:cstheme="minorHAnsi"/>
        </w:rPr>
        <w:t xml:space="preserve"> της </w:t>
      </w:r>
      <w:proofErr w:type="spellStart"/>
      <w:r w:rsidRPr="0059069F">
        <w:rPr>
          <w:rFonts w:asciiTheme="minorHAnsi" w:hAnsiTheme="minorHAnsi" w:cstheme="minorHAnsi"/>
        </w:rPr>
        <w:t>αίτησής</w:t>
      </w:r>
      <w:proofErr w:type="spellEnd"/>
      <w:r w:rsidRPr="0059069F">
        <w:rPr>
          <w:rFonts w:asciiTheme="minorHAnsi" w:hAnsiTheme="minorHAnsi" w:cstheme="minorHAnsi"/>
        </w:rPr>
        <w:t xml:space="preserve"> του/της, εάν από το τηρούμενο αρχείο της Γραμματείας δεν προκύπτει η πλήρωση των προϋποθέσεων της παρ. 1. Μετά την ολοκλήρωση του ελέγχου των αιτήσεων από τη Γραμματεία του Τμήματος ή της Μονοτμηματικής Σχολής, η Συνέλευση του Τμήματος ή της Μονοτμηματικής Σχολής </w:t>
      </w:r>
      <w:r w:rsidR="005E4150" w:rsidRPr="0059069F">
        <w:rPr>
          <w:rFonts w:asciiTheme="minorHAnsi" w:hAnsiTheme="minorHAnsi" w:cstheme="minorHAnsi"/>
        </w:rPr>
        <w:t>αποφασίζει</w:t>
      </w:r>
      <w:r w:rsidRPr="0059069F">
        <w:rPr>
          <w:rFonts w:asciiTheme="minorHAnsi" w:hAnsiTheme="minorHAnsi" w:cstheme="minorHAnsi"/>
        </w:rPr>
        <w:t xml:space="preserve"> για την έγκριση ή την απόρριψη κάθε αίτησης. Σε περίπτωση έγκρισης της αίτησης, στο σώμα της απόφασης αναγράφεται ο χορηγούμενος χρόνος παράτασης σπουδών σύμφωνα με τα οριζόμενα στην παρ. </w:t>
      </w:r>
      <w:r w:rsidR="009B00D9" w:rsidRPr="0059069F">
        <w:rPr>
          <w:rFonts w:asciiTheme="minorHAnsi" w:hAnsiTheme="minorHAnsi" w:cstheme="minorHAnsi"/>
        </w:rPr>
        <w:t>2</w:t>
      </w:r>
      <w:r w:rsidRPr="0059069F">
        <w:rPr>
          <w:rFonts w:asciiTheme="minorHAnsi" w:hAnsiTheme="minorHAnsi" w:cstheme="minorHAnsi"/>
        </w:rPr>
        <w:t xml:space="preserve">, </w:t>
      </w:r>
      <w:proofErr w:type="spellStart"/>
      <w:r w:rsidRPr="0059069F">
        <w:rPr>
          <w:rFonts w:asciiTheme="minorHAnsi" w:hAnsiTheme="minorHAnsi" w:cstheme="minorHAnsi"/>
        </w:rPr>
        <w:t>ενω</w:t>
      </w:r>
      <w:proofErr w:type="spellEnd"/>
      <w:r w:rsidRPr="0059069F">
        <w:rPr>
          <w:rFonts w:asciiTheme="minorHAnsi" w:hAnsiTheme="minorHAnsi" w:cstheme="minorHAnsi"/>
        </w:rPr>
        <w:t xml:space="preserve">́ σε περίπτωση </w:t>
      </w:r>
      <w:proofErr w:type="spellStart"/>
      <w:r w:rsidRPr="0059069F">
        <w:rPr>
          <w:rFonts w:asciiTheme="minorHAnsi" w:hAnsiTheme="minorHAnsi" w:cstheme="minorHAnsi"/>
        </w:rPr>
        <w:t>απόρριψης</w:t>
      </w:r>
      <w:proofErr w:type="spellEnd"/>
      <w:r w:rsidRPr="0059069F">
        <w:rPr>
          <w:rFonts w:asciiTheme="minorHAnsi" w:hAnsiTheme="minorHAnsi" w:cstheme="minorHAnsi"/>
        </w:rPr>
        <w:t xml:space="preserve"> αναγράφεται η αιτιολογία απόρριψης. Η </w:t>
      </w:r>
      <w:proofErr w:type="spellStart"/>
      <w:r w:rsidRPr="0059069F">
        <w:rPr>
          <w:rFonts w:asciiTheme="minorHAnsi" w:hAnsiTheme="minorHAnsi" w:cstheme="minorHAnsi"/>
        </w:rPr>
        <w:t>απόφαση</w:t>
      </w:r>
      <w:proofErr w:type="spellEnd"/>
      <w:r w:rsidRPr="0059069F">
        <w:rPr>
          <w:rFonts w:asciiTheme="minorHAnsi" w:hAnsiTheme="minorHAnsi" w:cstheme="minorHAnsi"/>
        </w:rPr>
        <w:t xml:space="preserve"> κοινοποιείται στον/στην </w:t>
      </w:r>
      <w:proofErr w:type="spellStart"/>
      <w:r w:rsidRPr="0059069F">
        <w:rPr>
          <w:rFonts w:asciiTheme="minorHAnsi" w:hAnsiTheme="minorHAnsi" w:cstheme="minorHAnsi"/>
        </w:rPr>
        <w:t>αιτούντα</w:t>
      </w:r>
      <w:proofErr w:type="spellEnd"/>
      <w:r w:rsidRPr="0059069F">
        <w:rPr>
          <w:rFonts w:asciiTheme="minorHAnsi" w:hAnsiTheme="minorHAnsi" w:cstheme="minorHAnsi"/>
        </w:rPr>
        <w:t xml:space="preserve">/ούσα </w:t>
      </w:r>
      <w:proofErr w:type="spellStart"/>
      <w:r w:rsidRPr="0059069F">
        <w:rPr>
          <w:rFonts w:asciiTheme="minorHAnsi" w:hAnsiTheme="minorHAnsi" w:cstheme="minorHAnsi"/>
        </w:rPr>
        <w:t>φοιτητη</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με </w:t>
      </w:r>
      <w:proofErr w:type="spellStart"/>
      <w:r w:rsidRPr="0059069F">
        <w:rPr>
          <w:rFonts w:asciiTheme="minorHAnsi" w:hAnsiTheme="minorHAnsi" w:cstheme="minorHAnsi"/>
        </w:rPr>
        <w:t>επιμέλεια</w:t>
      </w:r>
      <w:proofErr w:type="spellEnd"/>
      <w:r w:rsidRPr="0059069F">
        <w:rPr>
          <w:rFonts w:asciiTheme="minorHAnsi" w:hAnsiTheme="minorHAnsi" w:cstheme="minorHAnsi"/>
        </w:rPr>
        <w:t xml:space="preserve"> της Γραμματείας του Τμήματος ή της Μονοτμηματικής Σχολής στην ακαδημαϊκή διεύθυνση ηλεκτρονικού ταχυδρομείου του/της. Η διαδικασία ελέγχου και έκδοσης αποφάσεων </w:t>
      </w:r>
      <w:r w:rsidR="005E4150" w:rsidRPr="0059069F">
        <w:rPr>
          <w:rFonts w:asciiTheme="minorHAnsi" w:hAnsiTheme="minorHAnsi" w:cstheme="minorHAnsi"/>
        </w:rPr>
        <w:t>επί</w:t>
      </w:r>
      <w:r w:rsidRPr="0059069F">
        <w:rPr>
          <w:rFonts w:asciiTheme="minorHAnsi" w:hAnsiTheme="minorHAnsi" w:cstheme="minorHAnsi"/>
        </w:rPr>
        <w:t xml:space="preserve"> των αιτήσεων παράτασης ολοκληρώνεται το αργότερο εντός είκοσι (20) ημερών από την καταληκτική ημερομηνία υποβολής των αιτήσεων.</w:t>
      </w:r>
    </w:p>
    <w:p w14:paraId="6A85698E" w14:textId="6AF766BE" w:rsidR="0071606F" w:rsidRPr="0059069F" w:rsidRDefault="0071606F" w:rsidP="0071606F">
      <w:pPr>
        <w:pStyle w:val="Web"/>
        <w:shd w:val="clear" w:color="auto" w:fill="FFFFFF"/>
        <w:jc w:val="both"/>
        <w:rPr>
          <w:rFonts w:asciiTheme="minorHAnsi" w:hAnsiTheme="minorHAnsi" w:cstheme="minorHAnsi"/>
        </w:rPr>
      </w:pPr>
      <w:proofErr w:type="spellStart"/>
      <w:r w:rsidRPr="0059069F">
        <w:rPr>
          <w:rFonts w:asciiTheme="minorHAnsi" w:hAnsiTheme="minorHAnsi" w:cstheme="minorHAnsi"/>
        </w:rPr>
        <w:t>Κάθε</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φοιτητής</w:t>
      </w:r>
      <w:proofErr w:type="spellEnd"/>
      <w:r w:rsidR="005E4150" w:rsidRPr="0059069F">
        <w:rPr>
          <w:rFonts w:asciiTheme="minorHAnsi" w:hAnsiTheme="minorHAnsi" w:cstheme="minorHAnsi"/>
        </w:rPr>
        <w:t>/</w:t>
      </w:r>
      <w:proofErr w:type="spellStart"/>
      <w:r w:rsidR="005E4150" w:rsidRPr="0059069F">
        <w:rPr>
          <w:rFonts w:asciiTheme="minorHAnsi" w:hAnsiTheme="minorHAnsi" w:cstheme="minorHAnsi"/>
        </w:rPr>
        <w:t>τρια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έχει</w:t>
      </w:r>
      <w:proofErr w:type="spellEnd"/>
      <w:r w:rsidRPr="0059069F">
        <w:rPr>
          <w:rFonts w:asciiTheme="minorHAnsi" w:hAnsiTheme="minorHAnsi" w:cstheme="minorHAnsi"/>
        </w:rPr>
        <w:t xml:space="preserve"> δικα</w:t>
      </w:r>
      <w:r w:rsidR="005E4150" w:rsidRPr="0059069F">
        <w:rPr>
          <w:rFonts w:asciiTheme="minorHAnsi" w:hAnsiTheme="minorHAnsi" w:cstheme="minorHAnsi"/>
        </w:rPr>
        <w:t>ί</w:t>
      </w:r>
      <w:r w:rsidRPr="0059069F">
        <w:rPr>
          <w:rFonts w:asciiTheme="minorHAnsi" w:hAnsiTheme="minorHAnsi" w:cstheme="minorHAnsi"/>
        </w:rPr>
        <w:t xml:space="preserve">ωμα </w:t>
      </w:r>
      <w:proofErr w:type="spellStart"/>
      <w:r w:rsidRPr="0059069F">
        <w:rPr>
          <w:rFonts w:asciiTheme="minorHAnsi" w:hAnsiTheme="minorHAnsi" w:cstheme="minorHAnsi"/>
        </w:rPr>
        <w:t>άσκησης</w:t>
      </w:r>
      <w:proofErr w:type="spellEnd"/>
      <w:r w:rsidRPr="0059069F">
        <w:rPr>
          <w:rFonts w:asciiTheme="minorHAnsi" w:hAnsiTheme="minorHAnsi" w:cstheme="minorHAnsi"/>
        </w:rPr>
        <w:t xml:space="preserve"> α</w:t>
      </w:r>
      <w:r w:rsidR="005E4150" w:rsidRPr="0059069F">
        <w:rPr>
          <w:rFonts w:asciiTheme="minorHAnsi" w:hAnsiTheme="minorHAnsi" w:cstheme="minorHAnsi"/>
        </w:rPr>
        <w:t>ί</w:t>
      </w:r>
      <w:r w:rsidRPr="0059069F">
        <w:rPr>
          <w:rFonts w:asciiTheme="minorHAnsi" w:hAnsiTheme="minorHAnsi" w:cstheme="minorHAnsi"/>
        </w:rPr>
        <w:t>τησης θεραπε</w:t>
      </w:r>
      <w:r w:rsidR="005E4150" w:rsidRPr="0059069F">
        <w:rPr>
          <w:rFonts w:asciiTheme="minorHAnsi" w:hAnsiTheme="minorHAnsi" w:cstheme="minorHAnsi"/>
        </w:rPr>
        <w:t>ί</w:t>
      </w:r>
      <w:r w:rsidRPr="0059069F">
        <w:rPr>
          <w:rFonts w:asciiTheme="minorHAnsi" w:hAnsiTheme="minorHAnsi" w:cstheme="minorHAnsi"/>
        </w:rPr>
        <w:t xml:space="preserve">ας </w:t>
      </w:r>
      <w:proofErr w:type="spellStart"/>
      <w:r w:rsidRPr="0059069F">
        <w:rPr>
          <w:rFonts w:asciiTheme="minorHAnsi" w:hAnsiTheme="minorHAnsi" w:cstheme="minorHAnsi"/>
        </w:rPr>
        <w:t>ενώπιον</w:t>
      </w:r>
      <w:proofErr w:type="spellEnd"/>
      <w:r w:rsidRPr="0059069F">
        <w:rPr>
          <w:rFonts w:asciiTheme="minorHAnsi" w:hAnsiTheme="minorHAnsi" w:cstheme="minorHAnsi"/>
        </w:rPr>
        <w:t xml:space="preserve"> της Γραμματε</w:t>
      </w:r>
      <w:r w:rsidR="005E4150" w:rsidRPr="0059069F">
        <w:rPr>
          <w:rFonts w:asciiTheme="minorHAnsi" w:hAnsiTheme="minorHAnsi" w:cstheme="minorHAnsi"/>
        </w:rPr>
        <w:t>ί</w:t>
      </w:r>
      <w:r w:rsidRPr="0059069F">
        <w:rPr>
          <w:rFonts w:asciiTheme="minorHAnsi" w:hAnsiTheme="minorHAnsi" w:cstheme="minorHAnsi"/>
        </w:rPr>
        <w:t>ας του Τμήματος ή της Μονοτμηματικής Σχολής εντός αποκλειστικής προθεσμ</w:t>
      </w:r>
      <w:r w:rsidR="005E4150" w:rsidRPr="0059069F">
        <w:rPr>
          <w:rFonts w:asciiTheme="minorHAnsi" w:hAnsiTheme="minorHAnsi" w:cstheme="minorHAnsi"/>
        </w:rPr>
        <w:t>ί</w:t>
      </w:r>
      <w:r w:rsidRPr="0059069F">
        <w:rPr>
          <w:rFonts w:asciiTheme="minorHAnsi" w:hAnsiTheme="minorHAnsi" w:cstheme="minorHAnsi"/>
        </w:rPr>
        <w:t xml:space="preserve">ας επτά </w:t>
      </w:r>
      <w:r w:rsidR="005E4150" w:rsidRPr="0059069F">
        <w:rPr>
          <w:rFonts w:asciiTheme="minorHAnsi" w:hAnsiTheme="minorHAnsi" w:cstheme="minorHAnsi"/>
        </w:rPr>
        <w:t>(7)</w:t>
      </w:r>
      <w:r w:rsidRPr="0059069F">
        <w:rPr>
          <w:rFonts w:asciiTheme="minorHAnsi" w:hAnsiTheme="minorHAnsi" w:cstheme="minorHAnsi"/>
        </w:rPr>
        <w:t xml:space="preserve"> ημερολογιακών ημερών από την κοινοπο</w:t>
      </w:r>
      <w:r w:rsidR="005E4150" w:rsidRPr="0059069F">
        <w:rPr>
          <w:rFonts w:asciiTheme="minorHAnsi" w:hAnsiTheme="minorHAnsi" w:cstheme="minorHAnsi"/>
        </w:rPr>
        <w:t>ί</w:t>
      </w:r>
      <w:r w:rsidRPr="0059069F">
        <w:rPr>
          <w:rFonts w:asciiTheme="minorHAnsi" w:hAnsiTheme="minorHAnsi" w:cstheme="minorHAnsi"/>
        </w:rPr>
        <w:t xml:space="preserve">ηση σε </w:t>
      </w:r>
      <w:proofErr w:type="spellStart"/>
      <w:r w:rsidRPr="0059069F">
        <w:rPr>
          <w:rFonts w:asciiTheme="minorHAnsi" w:hAnsiTheme="minorHAnsi" w:cstheme="minorHAnsi"/>
        </w:rPr>
        <w:t>αυτόν</w:t>
      </w:r>
      <w:proofErr w:type="spellEnd"/>
      <w:r w:rsidR="005E4150" w:rsidRPr="0059069F">
        <w:rPr>
          <w:rFonts w:asciiTheme="minorHAnsi" w:hAnsiTheme="minorHAnsi" w:cstheme="minorHAnsi"/>
        </w:rPr>
        <w:t>/</w:t>
      </w:r>
      <w:proofErr w:type="spellStart"/>
      <w:r w:rsidR="005E4150" w:rsidRPr="0059069F">
        <w:rPr>
          <w:rFonts w:asciiTheme="minorHAnsi" w:hAnsiTheme="minorHAnsi" w:cstheme="minorHAnsi"/>
        </w:rPr>
        <w:t>ήν</w:t>
      </w:r>
      <w:proofErr w:type="spellEnd"/>
      <w:r w:rsidRPr="0059069F">
        <w:rPr>
          <w:rFonts w:asciiTheme="minorHAnsi" w:hAnsiTheme="minorHAnsi" w:cstheme="minorHAnsi"/>
        </w:rPr>
        <w:t xml:space="preserve"> της </w:t>
      </w:r>
      <w:proofErr w:type="spellStart"/>
      <w:r w:rsidRPr="0059069F">
        <w:rPr>
          <w:rFonts w:asciiTheme="minorHAnsi" w:hAnsiTheme="minorHAnsi" w:cstheme="minorHAnsi"/>
        </w:rPr>
        <w:t>απόφασης</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απόρριψης</w:t>
      </w:r>
      <w:proofErr w:type="spellEnd"/>
      <w:r w:rsidRPr="0059069F">
        <w:rPr>
          <w:rFonts w:asciiTheme="minorHAnsi" w:hAnsiTheme="minorHAnsi" w:cstheme="minorHAnsi"/>
        </w:rPr>
        <w:t xml:space="preserve"> της α</w:t>
      </w:r>
      <w:r w:rsidR="005E4150" w:rsidRPr="0059069F">
        <w:rPr>
          <w:rFonts w:asciiTheme="minorHAnsi" w:hAnsiTheme="minorHAnsi" w:cstheme="minorHAnsi"/>
        </w:rPr>
        <w:t>ί</w:t>
      </w:r>
      <w:r w:rsidRPr="0059069F">
        <w:rPr>
          <w:rFonts w:asciiTheme="minorHAnsi" w:hAnsiTheme="minorHAnsi" w:cstheme="minorHAnsi"/>
        </w:rPr>
        <w:t>τησής του</w:t>
      </w:r>
      <w:r w:rsidR="005E4150" w:rsidRPr="0059069F">
        <w:rPr>
          <w:rFonts w:asciiTheme="minorHAnsi" w:hAnsiTheme="minorHAnsi" w:cstheme="minorHAnsi"/>
        </w:rPr>
        <w:t>/της</w:t>
      </w:r>
      <w:r w:rsidRPr="0059069F">
        <w:rPr>
          <w:rFonts w:asciiTheme="minorHAnsi" w:hAnsiTheme="minorHAnsi" w:cstheme="minorHAnsi"/>
        </w:rPr>
        <w:t xml:space="preserve"> αποκλειστικά για λόγους που άπτονται της μη συνδρομής των προϋποθέσεων παράτασης στο πρόσωπό του</w:t>
      </w:r>
      <w:r w:rsidR="005E4150" w:rsidRPr="0059069F">
        <w:rPr>
          <w:rFonts w:asciiTheme="minorHAnsi" w:hAnsiTheme="minorHAnsi" w:cstheme="minorHAnsi"/>
        </w:rPr>
        <w:t>/της.</w:t>
      </w:r>
      <w:r w:rsidRPr="0059069F">
        <w:rPr>
          <w:rFonts w:asciiTheme="minorHAnsi" w:hAnsiTheme="minorHAnsi" w:cstheme="minorHAnsi"/>
        </w:rPr>
        <w:t xml:space="preserve"> Οι αιτήσεις θεραπε</w:t>
      </w:r>
      <w:r w:rsidR="005E4150" w:rsidRPr="0059069F">
        <w:rPr>
          <w:rFonts w:asciiTheme="minorHAnsi" w:hAnsiTheme="minorHAnsi" w:cstheme="minorHAnsi"/>
        </w:rPr>
        <w:t>ί</w:t>
      </w:r>
      <w:r w:rsidRPr="0059069F">
        <w:rPr>
          <w:rFonts w:asciiTheme="minorHAnsi" w:hAnsiTheme="minorHAnsi" w:cstheme="minorHAnsi"/>
        </w:rPr>
        <w:t>ας αξιολογούνται από τη Συνέλευση του Τμήματος ή της Μονοτμηματικής Σχολής εντός αποκλειστικής προθεσμ</w:t>
      </w:r>
      <w:r w:rsidR="005E4150" w:rsidRPr="0059069F">
        <w:rPr>
          <w:rFonts w:asciiTheme="minorHAnsi" w:hAnsiTheme="minorHAnsi" w:cstheme="minorHAnsi"/>
        </w:rPr>
        <w:t>ί</w:t>
      </w:r>
      <w:r w:rsidRPr="0059069F">
        <w:rPr>
          <w:rFonts w:asciiTheme="minorHAnsi" w:hAnsiTheme="minorHAnsi" w:cstheme="minorHAnsi"/>
        </w:rPr>
        <w:t xml:space="preserve">ας δέκα ημερών </w:t>
      </w:r>
      <w:r w:rsidR="005E4150" w:rsidRPr="0059069F">
        <w:rPr>
          <w:rFonts w:asciiTheme="minorHAnsi" w:hAnsiTheme="minorHAnsi" w:cstheme="minorHAnsi"/>
        </w:rPr>
        <w:t>(10)</w:t>
      </w:r>
      <w:r w:rsidRPr="0059069F">
        <w:rPr>
          <w:rFonts w:asciiTheme="minorHAnsi" w:hAnsiTheme="minorHAnsi" w:cstheme="minorHAnsi"/>
        </w:rPr>
        <w:t xml:space="preserve"> ημερολογιακών ημερών από την υποβολή τους και εκδ</w:t>
      </w:r>
      <w:r w:rsidR="005E4150" w:rsidRPr="0059069F">
        <w:rPr>
          <w:rFonts w:asciiTheme="minorHAnsi" w:hAnsiTheme="minorHAnsi" w:cstheme="minorHAnsi"/>
        </w:rPr>
        <w:t>ί</w:t>
      </w:r>
      <w:r w:rsidRPr="0059069F">
        <w:rPr>
          <w:rFonts w:asciiTheme="minorHAnsi" w:hAnsiTheme="minorHAnsi" w:cstheme="minorHAnsi"/>
        </w:rPr>
        <w:t>δεται σχετική απόφαση</w:t>
      </w:r>
      <w:r w:rsidR="005E4150" w:rsidRPr="0059069F">
        <w:rPr>
          <w:rFonts w:asciiTheme="minorHAnsi" w:hAnsiTheme="minorHAnsi" w:cstheme="minorHAnsi"/>
        </w:rPr>
        <w:t xml:space="preserve">. </w:t>
      </w:r>
      <w:r w:rsidRPr="0059069F">
        <w:rPr>
          <w:rFonts w:asciiTheme="minorHAnsi" w:hAnsiTheme="minorHAnsi" w:cstheme="minorHAnsi"/>
        </w:rPr>
        <w:t>Εάν παρέλθει άπρακτη η προθεσμ</w:t>
      </w:r>
      <w:r w:rsidR="005E4150" w:rsidRPr="0059069F">
        <w:rPr>
          <w:rFonts w:asciiTheme="minorHAnsi" w:hAnsiTheme="minorHAnsi" w:cstheme="minorHAnsi"/>
        </w:rPr>
        <w:t>ί</w:t>
      </w:r>
      <w:r w:rsidRPr="0059069F">
        <w:rPr>
          <w:rFonts w:asciiTheme="minorHAnsi" w:hAnsiTheme="minorHAnsi" w:cstheme="minorHAnsi"/>
        </w:rPr>
        <w:t>α του προηγούμενου εδαφ</w:t>
      </w:r>
      <w:r w:rsidR="005E4150" w:rsidRPr="0059069F">
        <w:rPr>
          <w:rFonts w:asciiTheme="minorHAnsi" w:hAnsiTheme="minorHAnsi" w:cstheme="minorHAnsi"/>
        </w:rPr>
        <w:t>ί</w:t>
      </w:r>
      <w:r w:rsidRPr="0059069F">
        <w:rPr>
          <w:rFonts w:asciiTheme="minorHAnsi" w:hAnsiTheme="minorHAnsi" w:cstheme="minorHAnsi"/>
        </w:rPr>
        <w:t>ου</w:t>
      </w:r>
      <w:r w:rsidR="005E4150" w:rsidRPr="0059069F">
        <w:rPr>
          <w:rFonts w:asciiTheme="minorHAnsi" w:hAnsiTheme="minorHAnsi" w:cstheme="minorHAnsi"/>
        </w:rPr>
        <w:t>,</w:t>
      </w:r>
      <w:r w:rsidRPr="0059069F">
        <w:rPr>
          <w:rFonts w:asciiTheme="minorHAnsi" w:hAnsiTheme="minorHAnsi" w:cstheme="minorHAnsi"/>
        </w:rPr>
        <w:t xml:space="preserve"> η α</w:t>
      </w:r>
      <w:r w:rsidR="005E4150" w:rsidRPr="0059069F">
        <w:rPr>
          <w:rFonts w:asciiTheme="minorHAnsi" w:hAnsiTheme="minorHAnsi" w:cstheme="minorHAnsi"/>
        </w:rPr>
        <w:t>ί</w:t>
      </w:r>
      <w:r w:rsidRPr="0059069F">
        <w:rPr>
          <w:rFonts w:asciiTheme="minorHAnsi" w:hAnsiTheme="minorHAnsi" w:cstheme="minorHAnsi"/>
        </w:rPr>
        <w:t>τηση θεραπε</w:t>
      </w:r>
      <w:r w:rsidR="005E4150" w:rsidRPr="0059069F">
        <w:rPr>
          <w:rFonts w:asciiTheme="minorHAnsi" w:hAnsiTheme="minorHAnsi" w:cstheme="minorHAnsi"/>
        </w:rPr>
        <w:t>ί</w:t>
      </w:r>
      <w:r w:rsidRPr="0059069F">
        <w:rPr>
          <w:rFonts w:asciiTheme="minorHAnsi" w:hAnsiTheme="minorHAnsi" w:cstheme="minorHAnsi"/>
        </w:rPr>
        <w:t>ας θεωρε</w:t>
      </w:r>
      <w:r w:rsidR="005E4150" w:rsidRPr="0059069F">
        <w:rPr>
          <w:rFonts w:asciiTheme="minorHAnsi" w:hAnsiTheme="minorHAnsi" w:cstheme="minorHAnsi"/>
        </w:rPr>
        <w:t>ί</w:t>
      </w:r>
      <w:r w:rsidRPr="0059069F">
        <w:rPr>
          <w:rFonts w:asciiTheme="minorHAnsi" w:hAnsiTheme="minorHAnsi" w:cstheme="minorHAnsi"/>
        </w:rPr>
        <w:t>ται απορριφθε</w:t>
      </w:r>
      <w:r w:rsidR="005E4150" w:rsidRPr="0059069F">
        <w:rPr>
          <w:rFonts w:asciiTheme="minorHAnsi" w:hAnsiTheme="minorHAnsi" w:cstheme="minorHAnsi"/>
        </w:rPr>
        <w:t>ί</w:t>
      </w:r>
      <w:r w:rsidRPr="0059069F">
        <w:rPr>
          <w:rFonts w:asciiTheme="minorHAnsi" w:hAnsiTheme="minorHAnsi" w:cstheme="minorHAnsi"/>
        </w:rPr>
        <w:t>σα</w:t>
      </w:r>
      <w:r w:rsidR="005E4150" w:rsidRPr="0059069F">
        <w:rPr>
          <w:rFonts w:asciiTheme="minorHAnsi" w:hAnsiTheme="minorHAnsi" w:cstheme="minorHAnsi"/>
        </w:rPr>
        <w:t xml:space="preserve">. </w:t>
      </w:r>
      <w:r w:rsidRPr="0059069F">
        <w:rPr>
          <w:rFonts w:asciiTheme="minorHAnsi" w:hAnsiTheme="minorHAnsi" w:cstheme="minorHAnsi"/>
        </w:rPr>
        <w:t>Σε περ</w:t>
      </w:r>
      <w:r w:rsidR="005E4150" w:rsidRPr="0059069F">
        <w:rPr>
          <w:rFonts w:asciiTheme="minorHAnsi" w:hAnsiTheme="minorHAnsi" w:cstheme="minorHAnsi"/>
        </w:rPr>
        <w:t>ί</w:t>
      </w:r>
      <w:r w:rsidRPr="0059069F">
        <w:rPr>
          <w:rFonts w:asciiTheme="minorHAnsi" w:hAnsiTheme="minorHAnsi" w:cstheme="minorHAnsi"/>
        </w:rPr>
        <w:t>πτωση αποδοχής της α</w:t>
      </w:r>
      <w:r w:rsidR="005E4150" w:rsidRPr="0059069F">
        <w:rPr>
          <w:rFonts w:asciiTheme="minorHAnsi" w:hAnsiTheme="minorHAnsi" w:cstheme="minorHAnsi"/>
        </w:rPr>
        <w:t>ί</w:t>
      </w:r>
      <w:r w:rsidRPr="0059069F">
        <w:rPr>
          <w:rFonts w:asciiTheme="minorHAnsi" w:hAnsiTheme="minorHAnsi" w:cstheme="minorHAnsi"/>
        </w:rPr>
        <w:t>τησης θεραπε</w:t>
      </w:r>
      <w:r w:rsidR="005E4150" w:rsidRPr="0059069F">
        <w:rPr>
          <w:rFonts w:asciiTheme="minorHAnsi" w:hAnsiTheme="minorHAnsi" w:cstheme="minorHAnsi"/>
        </w:rPr>
        <w:t>ί</w:t>
      </w:r>
      <w:r w:rsidRPr="0059069F">
        <w:rPr>
          <w:rFonts w:asciiTheme="minorHAnsi" w:hAnsiTheme="minorHAnsi" w:cstheme="minorHAnsi"/>
        </w:rPr>
        <w:t>ας</w:t>
      </w:r>
      <w:r w:rsidR="005E4150" w:rsidRPr="0059069F">
        <w:rPr>
          <w:rFonts w:asciiTheme="minorHAnsi" w:hAnsiTheme="minorHAnsi" w:cstheme="minorHAnsi"/>
        </w:rPr>
        <w:t>,</w:t>
      </w:r>
      <w:r w:rsidRPr="0059069F">
        <w:rPr>
          <w:rFonts w:asciiTheme="minorHAnsi" w:hAnsiTheme="minorHAnsi" w:cstheme="minorHAnsi"/>
        </w:rPr>
        <w:t xml:space="preserve"> στο σώμα της απόφασης αναγράφεται ο χορηγούμενος χρόνος </w:t>
      </w:r>
      <w:r w:rsidRPr="0059069F">
        <w:rPr>
          <w:rFonts w:asciiTheme="minorHAnsi" w:hAnsiTheme="minorHAnsi" w:cstheme="minorHAnsi"/>
        </w:rPr>
        <w:lastRenderedPageBreak/>
        <w:t>παράτασης σπουδών</w:t>
      </w:r>
      <w:r w:rsidR="005E4150" w:rsidRPr="0059069F">
        <w:rPr>
          <w:rFonts w:asciiTheme="minorHAnsi" w:hAnsiTheme="minorHAnsi" w:cstheme="minorHAnsi"/>
        </w:rPr>
        <w:t>,</w:t>
      </w:r>
      <w:r w:rsidRPr="0059069F">
        <w:rPr>
          <w:rFonts w:asciiTheme="minorHAnsi" w:hAnsiTheme="minorHAnsi" w:cstheme="minorHAnsi"/>
        </w:rPr>
        <w:t xml:space="preserve"> σύμφωνα με τα οριζόμενα στην παρ</w:t>
      </w:r>
      <w:r w:rsidR="005E4150" w:rsidRPr="0059069F">
        <w:rPr>
          <w:rFonts w:asciiTheme="minorHAnsi" w:hAnsiTheme="minorHAnsi" w:cstheme="minorHAnsi"/>
        </w:rPr>
        <w:t>. 1,</w:t>
      </w:r>
      <w:r w:rsidRPr="0059069F">
        <w:rPr>
          <w:rFonts w:asciiTheme="minorHAnsi" w:hAnsiTheme="minorHAnsi" w:cstheme="minorHAnsi"/>
        </w:rPr>
        <w:t xml:space="preserve"> ενώ σε περ</w:t>
      </w:r>
      <w:r w:rsidR="005E4150" w:rsidRPr="0059069F">
        <w:rPr>
          <w:rFonts w:asciiTheme="minorHAnsi" w:hAnsiTheme="minorHAnsi" w:cstheme="minorHAnsi"/>
        </w:rPr>
        <w:t>ί</w:t>
      </w:r>
      <w:r w:rsidRPr="0059069F">
        <w:rPr>
          <w:rFonts w:asciiTheme="minorHAnsi" w:hAnsiTheme="minorHAnsi" w:cstheme="minorHAnsi"/>
        </w:rPr>
        <w:t>πτωση απόρριψης αυτής αναγράφεται η αιτιολογ</w:t>
      </w:r>
      <w:r w:rsidR="005E4150" w:rsidRPr="0059069F">
        <w:rPr>
          <w:rFonts w:asciiTheme="minorHAnsi" w:hAnsiTheme="minorHAnsi" w:cstheme="minorHAnsi"/>
        </w:rPr>
        <w:t>ί</w:t>
      </w:r>
      <w:r w:rsidRPr="0059069F">
        <w:rPr>
          <w:rFonts w:asciiTheme="minorHAnsi" w:hAnsiTheme="minorHAnsi" w:cstheme="minorHAnsi"/>
        </w:rPr>
        <w:t>α απόρριψης</w:t>
      </w:r>
      <w:r w:rsidR="005E4150" w:rsidRPr="0059069F">
        <w:rPr>
          <w:rFonts w:asciiTheme="minorHAnsi" w:hAnsiTheme="minorHAnsi" w:cstheme="minorHAnsi"/>
        </w:rPr>
        <w:t>.</w:t>
      </w:r>
      <w:r w:rsidRPr="0059069F">
        <w:rPr>
          <w:rFonts w:asciiTheme="minorHAnsi" w:hAnsiTheme="minorHAnsi" w:cstheme="minorHAnsi"/>
        </w:rPr>
        <w:t xml:space="preserve"> Η </w:t>
      </w:r>
      <w:proofErr w:type="spellStart"/>
      <w:r w:rsidRPr="0059069F">
        <w:rPr>
          <w:rFonts w:asciiTheme="minorHAnsi" w:hAnsiTheme="minorHAnsi" w:cstheme="minorHAnsi"/>
        </w:rPr>
        <w:t>απόφαση</w:t>
      </w:r>
      <w:proofErr w:type="spellEnd"/>
      <w:r w:rsidRPr="0059069F">
        <w:rPr>
          <w:rFonts w:asciiTheme="minorHAnsi" w:hAnsiTheme="minorHAnsi" w:cstheme="minorHAnsi"/>
        </w:rPr>
        <w:t xml:space="preserve"> κοινοποιε</w:t>
      </w:r>
      <w:r w:rsidR="005E4150" w:rsidRPr="0059069F">
        <w:rPr>
          <w:rFonts w:asciiTheme="minorHAnsi" w:hAnsiTheme="minorHAnsi" w:cstheme="minorHAnsi"/>
        </w:rPr>
        <w:t>ί</w:t>
      </w:r>
      <w:r w:rsidRPr="0059069F">
        <w:rPr>
          <w:rFonts w:asciiTheme="minorHAnsi" w:hAnsiTheme="minorHAnsi" w:cstheme="minorHAnsi"/>
        </w:rPr>
        <w:t>ται στον</w:t>
      </w:r>
      <w:r w:rsidR="005E4150" w:rsidRPr="0059069F">
        <w:rPr>
          <w:rFonts w:asciiTheme="minorHAnsi" w:hAnsiTheme="minorHAnsi" w:cstheme="minorHAnsi"/>
        </w:rPr>
        <w:t>/στην</w:t>
      </w:r>
      <w:r w:rsidRPr="0059069F">
        <w:rPr>
          <w:rFonts w:asciiTheme="minorHAnsi" w:hAnsiTheme="minorHAnsi" w:cstheme="minorHAnsi"/>
        </w:rPr>
        <w:t xml:space="preserve"> </w:t>
      </w:r>
      <w:proofErr w:type="spellStart"/>
      <w:r w:rsidRPr="0059069F">
        <w:rPr>
          <w:rFonts w:asciiTheme="minorHAnsi" w:hAnsiTheme="minorHAnsi" w:cstheme="minorHAnsi"/>
        </w:rPr>
        <w:t>αιτούντα</w:t>
      </w:r>
      <w:proofErr w:type="spellEnd"/>
      <w:r w:rsidR="005E4150" w:rsidRPr="0059069F">
        <w:rPr>
          <w:rFonts w:asciiTheme="minorHAnsi" w:hAnsiTheme="minorHAnsi" w:cstheme="minorHAnsi"/>
        </w:rPr>
        <w:t>/ούσα</w:t>
      </w:r>
      <w:r w:rsidRPr="0059069F">
        <w:rPr>
          <w:rFonts w:asciiTheme="minorHAnsi" w:hAnsiTheme="minorHAnsi" w:cstheme="minorHAnsi"/>
        </w:rPr>
        <w:t xml:space="preserve"> </w:t>
      </w:r>
      <w:proofErr w:type="spellStart"/>
      <w:r w:rsidRPr="0059069F">
        <w:rPr>
          <w:rFonts w:asciiTheme="minorHAnsi" w:hAnsiTheme="minorHAnsi" w:cstheme="minorHAnsi"/>
        </w:rPr>
        <w:t>φοιτητη</w:t>
      </w:r>
      <w:proofErr w:type="spellEnd"/>
      <w:r w:rsidRPr="0059069F">
        <w:rPr>
          <w:rFonts w:asciiTheme="minorHAnsi" w:hAnsiTheme="minorHAnsi" w:cstheme="minorHAnsi"/>
        </w:rPr>
        <w:t>́</w:t>
      </w:r>
      <w:r w:rsidR="005E4150" w:rsidRPr="0059069F">
        <w:rPr>
          <w:rFonts w:asciiTheme="minorHAnsi" w:hAnsiTheme="minorHAnsi" w:cstheme="minorHAnsi"/>
        </w:rPr>
        <w:t>/</w:t>
      </w:r>
      <w:proofErr w:type="spellStart"/>
      <w:r w:rsidR="005E4150" w:rsidRPr="0059069F">
        <w:rPr>
          <w:rFonts w:asciiTheme="minorHAnsi" w:hAnsiTheme="minorHAnsi" w:cstheme="minorHAnsi"/>
        </w:rPr>
        <w:t>τρια</w:t>
      </w:r>
      <w:proofErr w:type="spellEnd"/>
      <w:r w:rsidRPr="0059069F">
        <w:rPr>
          <w:rFonts w:asciiTheme="minorHAnsi" w:hAnsiTheme="minorHAnsi" w:cstheme="minorHAnsi"/>
        </w:rPr>
        <w:t xml:space="preserve"> με </w:t>
      </w:r>
      <w:proofErr w:type="spellStart"/>
      <w:r w:rsidRPr="0059069F">
        <w:rPr>
          <w:rFonts w:asciiTheme="minorHAnsi" w:hAnsiTheme="minorHAnsi" w:cstheme="minorHAnsi"/>
        </w:rPr>
        <w:t>επιμέλεια</w:t>
      </w:r>
      <w:proofErr w:type="spellEnd"/>
      <w:r w:rsidRPr="0059069F">
        <w:rPr>
          <w:rFonts w:asciiTheme="minorHAnsi" w:hAnsiTheme="minorHAnsi" w:cstheme="minorHAnsi"/>
        </w:rPr>
        <w:t xml:space="preserve"> της Γραμματε</w:t>
      </w:r>
      <w:r w:rsidR="005E4150" w:rsidRPr="0059069F">
        <w:rPr>
          <w:rFonts w:asciiTheme="minorHAnsi" w:hAnsiTheme="minorHAnsi" w:cstheme="minorHAnsi"/>
        </w:rPr>
        <w:t>ί</w:t>
      </w:r>
      <w:r w:rsidRPr="0059069F">
        <w:rPr>
          <w:rFonts w:asciiTheme="minorHAnsi" w:hAnsiTheme="minorHAnsi" w:cstheme="minorHAnsi"/>
        </w:rPr>
        <w:t>ας του Τμήματος ή της Μονοτμηματικής Σχολής στην ακαδημαϊκή διεύθυνση ηλεκτρονικού ταχυδρομε</w:t>
      </w:r>
      <w:r w:rsidR="005E4150" w:rsidRPr="0059069F">
        <w:rPr>
          <w:rFonts w:asciiTheme="minorHAnsi" w:hAnsiTheme="minorHAnsi" w:cstheme="minorHAnsi"/>
        </w:rPr>
        <w:t>ί</w:t>
      </w:r>
      <w:r w:rsidRPr="0059069F">
        <w:rPr>
          <w:rFonts w:asciiTheme="minorHAnsi" w:hAnsiTheme="minorHAnsi" w:cstheme="minorHAnsi"/>
        </w:rPr>
        <w:t>ου του</w:t>
      </w:r>
      <w:r w:rsidR="005E4150" w:rsidRPr="0059069F">
        <w:rPr>
          <w:rFonts w:asciiTheme="minorHAnsi" w:hAnsiTheme="minorHAnsi" w:cstheme="minorHAnsi"/>
        </w:rPr>
        <w:t>/της.</w:t>
      </w:r>
      <w:r w:rsidRPr="0059069F">
        <w:rPr>
          <w:rFonts w:asciiTheme="minorHAnsi" w:hAnsiTheme="minorHAnsi" w:cstheme="minorHAnsi"/>
        </w:rPr>
        <w:t xml:space="preserve"> </w:t>
      </w:r>
    </w:p>
    <w:p w14:paraId="17B0CC3E" w14:textId="0D114BE2" w:rsidR="003F1B34" w:rsidRPr="0059069F" w:rsidRDefault="0071606F" w:rsidP="007122A3">
      <w:pPr>
        <w:pStyle w:val="Web"/>
        <w:shd w:val="clear" w:color="auto" w:fill="FFFFFF"/>
        <w:jc w:val="both"/>
        <w:rPr>
          <w:rFonts w:asciiTheme="minorHAnsi" w:hAnsiTheme="minorHAnsi" w:cstheme="minorHAnsi"/>
        </w:rPr>
      </w:pPr>
      <w:r w:rsidRPr="0059069F">
        <w:rPr>
          <w:rFonts w:asciiTheme="minorHAnsi" w:hAnsiTheme="minorHAnsi" w:cstheme="minorHAnsi"/>
        </w:rPr>
        <w:t xml:space="preserve">Ο χρόνος παράτασης δύο </w:t>
      </w:r>
      <w:r w:rsidR="002465C4" w:rsidRPr="0059069F">
        <w:rPr>
          <w:rFonts w:asciiTheme="minorHAnsi" w:hAnsiTheme="minorHAnsi" w:cstheme="minorHAnsi"/>
        </w:rPr>
        <w:t>(2)</w:t>
      </w:r>
      <w:r w:rsidRPr="0059069F">
        <w:rPr>
          <w:rFonts w:asciiTheme="minorHAnsi" w:hAnsiTheme="minorHAnsi" w:cstheme="minorHAnsi"/>
        </w:rPr>
        <w:t xml:space="preserve"> ακαδημαϊκών εξαμήνων παρέχει το δικα</w:t>
      </w:r>
      <w:r w:rsidR="002465C4" w:rsidRPr="0059069F">
        <w:rPr>
          <w:rFonts w:asciiTheme="minorHAnsi" w:hAnsiTheme="minorHAnsi" w:cstheme="minorHAnsi"/>
        </w:rPr>
        <w:t>ί</w:t>
      </w:r>
      <w:r w:rsidRPr="0059069F">
        <w:rPr>
          <w:rFonts w:asciiTheme="minorHAnsi" w:hAnsiTheme="minorHAnsi" w:cstheme="minorHAnsi"/>
        </w:rPr>
        <w:t>ωμα παρακολούθησης των μαθημάτων και λοιπών εκπαιδευτικών δραστηριοτήτων του προγράμματος σπουδών για το χειμερινό και το εαρινό ακαδημαϊκό εξάμηνο που έπονται του χρόνου υποβολής της α</w:t>
      </w:r>
      <w:r w:rsidR="002465C4" w:rsidRPr="0059069F">
        <w:rPr>
          <w:rFonts w:asciiTheme="minorHAnsi" w:hAnsiTheme="minorHAnsi" w:cstheme="minorHAnsi"/>
        </w:rPr>
        <w:t>ί</w:t>
      </w:r>
      <w:r w:rsidRPr="0059069F">
        <w:rPr>
          <w:rFonts w:asciiTheme="minorHAnsi" w:hAnsiTheme="minorHAnsi" w:cstheme="minorHAnsi"/>
        </w:rPr>
        <w:t>τησης</w:t>
      </w:r>
      <w:r w:rsidR="002465C4" w:rsidRPr="0059069F">
        <w:rPr>
          <w:rFonts w:asciiTheme="minorHAnsi" w:hAnsiTheme="minorHAnsi" w:cstheme="minorHAnsi"/>
        </w:rPr>
        <w:t>,</w:t>
      </w:r>
      <w:r w:rsidRPr="0059069F">
        <w:rPr>
          <w:rFonts w:asciiTheme="minorHAnsi" w:hAnsiTheme="minorHAnsi" w:cstheme="minorHAnsi"/>
        </w:rPr>
        <w:t xml:space="preserve"> καθώς και δικα</w:t>
      </w:r>
      <w:r w:rsidR="002465C4" w:rsidRPr="0059069F">
        <w:rPr>
          <w:rFonts w:asciiTheme="minorHAnsi" w:hAnsiTheme="minorHAnsi" w:cstheme="minorHAnsi"/>
        </w:rPr>
        <w:t>ί</w:t>
      </w:r>
      <w:r w:rsidRPr="0059069F">
        <w:rPr>
          <w:rFonts w:asciiTheme="minorHAnsi" w:hAnsiTheme="minorHAnsi" w:cstheme="minorHAnsi"/>
        </w:rPr>
        <w:t>ωμα συμμετοχής σε κάθε ε</w:t>
      </w:r>
      <w:r w:rsidR="002465C4" w:rsidRPr="0059069F">
        <w:rPr>
          <w:rFonts w:asciiTheme="minorHAnsi" w:hAnsiTheme="minorHAnsi" w:cstheme="minorHAnsi"/>
        </w:rPr>
        <w:t>ί</w:t>
      </w:r>
      <w:r w:rsidRPr="0059069F">
        <w:rPr>
          <w:rFonts w:asciiTheme="minorHAnsi" w:hAnsiTheme="minorHAnsi" w:cstheme="minorHAnsi"/>
        </w:rPr>
        <w:t>δους ακαδημαϊκές διαδικασ</w:t>
      </w:r>
      <w:r w:rsidR="002465C4" w:rsidRPr="0059069F">
        <w:rPr>
          <w:rFonts w:asciiTheme="minorHAnsi" w:hAnsiTheme="minorHAnsi" w:cstheme="minorHAnsi"/>
        </w:rPr>
        <w:t>ί</w:t>
      </w:r>
      <w:r w:rsidRPr="0059069F">
        <w:rPr>
          <w:rFonts w:asciiTheme="minorHAnsi" w:hAnsiTheme="minorHAnsi" w:cstheme="minorHAnsi"/>
        </w:rPr>
        <w:t>ες αξιολόγησης προκειμένου να καταστε</w:t>
      </w:r>
      <w:r w:rsidR="002465C4" w:rsidRPr="0059069F">
        <w:rPr>
          <w:rFonts w:asciiTheme="minorHAnsi" w:hAnsiTheme="minorHAnsi" w:cstheme="minorHAnsi"/>
        </w:rPr>
        <w:t>ί</w:t>
      </w:r>
      <w:r w:rsidRPr="0059069F">
        <w:rPr>
          <w:rFonts w:asciiTheme="minorHAnsi" w:hAnsiTheme="minorHAnsi" w:cstheme="minorHAnsi"/>
        </w:rPr>
        <w:t xml:space="preserve"> δυνατή η ολοκλήρωση των σπουδών </w:t>
      </w:r>
      <w:r w:rsidR="002465C4" w:rsidRPr="0059069F">
        <w:rPr>
          <w:rFonts w:asciiTheme="minorHAnsi" w:hAnsiTheme="minorHAnsi" w:cstheme="minorHAnsi"/>
        </w:rPr>
        <w:t>τους,</w:t>
      </w:r>
      <w:r w:rsidRPr="0059069F">
        <w:rPr>
          <w:rFonts w:asciiTheme="minorHAnsi" w:hAnsiTheme="minorHAnsi" w:cstheme="minorHAnsi"/>
        </w:rPr>
        <w:t xml:space="preserve"> συμπεριλαμβανομένης της επαναληπτικής εξεταστικής του Σεπτεμβρ</w:t>
      </w:r>
      <w:r w:rsidR="002465C4" w:rsidRPr="0059069F">
        <w:rPr>
          <w:rFonts w:asciiTheme="minorHAnsi" w:hAnsiTheme="minorHAnsi" w:cstheme="minorHAnsi"/>
        </w:rPr>
        <w:t>ί</w:t>
      </w:r>
      <w:r w:rsidRPr="0059069F">
        <w:rPr>
          <w:rFonts w:asciiTheme="minorHAnsi" w:hAnsiTheme="minorHAnsi" w:cstheme="minorHAnsi"/>
        </w:rPr>
        <w:t>ου</w:t>
      </w:r>
      <w:r w:rsidR="002465C4" w:rsidRPr="0059069F">
        <w:rPr>
          <w:rFonts w:asciiTheme="minorHAnsi" w:hAnsiTheme="minorHAnsi" w:cstheme="minorHAnsi"/>
        </w:rPr>
        <w:t>.</w:t>
      </w:r>
      <w:r w:rsidRPr="0059069F">
        <w:rPr>
          <w:rFonts w:asciiTheme="minorHAnsi" w:hAnsiTheme="minorHAnsi" w:cstheme="minorHAnsi"/>
        </w:rPr>
        <w:t xml:space="preserve"> Αντ</w:t>
      </w:r>
      <w:r w:rsidR="002465C4" w:rsidRPr="0059069F">
        <w:rPr>
          <w:rFonts w:asciiTheme="minorHAnsi" w:hAnsiTheme="minorHAnsi" w:cstheme="minorHAnsi"/>
        </w:rPr>
        <w:t>ί</w:t>
      </w:r>
      <w:r w:rsidRPr="0059069F">
        <w:rPr>
          <w:rFonts w:asciiTheme="minorHAnsi" w:hAnsiTheme="minorHAnsi" w:cstheme="minorHAnsi"/>
        </w:rPr>
        <w:t>στοιχα</w:t>
      </w:r>
      <w:r w:rsidR="002465C4" w:rsidRPr="0059069F">
        <w:rPr>
          <w:rFonts w:asciiTheme="minorHAnsi" w:hAnsiTheme="minorHAnsi" w:cstheme="minorHAnsi"/>
        </w:rPr>
        <w:t>,</w:t>
      </w:r>
      <w:r w:rsidRPr="0059069F">
        <w:rPr>
          <w:rFonts w:asciiTheme="minorHAnsi" w:hAnsiTheme="minorHAnsi" w:cstheme="minorHAnsi"/>
        </w:rPr>
        <w:t xml:space="preserve"> ο χρόνος παράτασης τριών </w:t>
      </w:r>
      <w:r w:rsidR="002465C4" w:rsidRPr="0059069F">
        <w:rPr>
          <w:rFonts w:asciiTheme="minorHAnsi" w:hAnsiTheme="minorHAnsi" w:cstheme="minorHAnsi"/>
        </w:rPr>
        <w:t>(3)</w:t>
      </w:r>
      <w:r w:rsidRPr="0059069F">
        <w:rPr>
          <w:rFonts w:asciiTheme="minorHAnsi" w:hAnsiTheme="minorHAnsi" w:cstheme="minorHAnsi"/>
        </w:rPr>
        <w:t xml:space="preserve"> ακαδημαϊκών εξαμήνων παρέχει το δικα</w:t>
      </w:r>
      <w:r w:rsidR="002465C4" w:rsidRPr="0059069F">
        <w:rPr>
          <w:rFonts w:asciiTheme="minorHAnsi" w:hAnsiTheme="minorHAnsi" w:cstheme="minorHAnsi"/>
        </w:rPr>
        <w:t>ί</w:t>
      </w:r>
      <w:r w:rsidRPr="0059069F">
        <w:rPr>
          <w:rFonts w:asciiTheme="minorHAnsi" w:hAnsiTheme="minorHAnsi" w:cstheme="minorHAnsi"/>
        </w:rPr>
        <w:t>ωμα παρακολούθησης των μαθημάτων και λοιπών εκπαιδευτικών δραστηριοτήτων του προγράμματος σπουδών για τα τρ</w:t>
      </w:r>
      <w:r w:rsidR="002465C4" w:rsidRPr="0059069F">
        <w:rPr>
          <w:rFonts w:asciiTheme="minorHAnsi" w:hAnsiTheme="minorHAnsi" w:cstheme="minorHAnsi"/>
        </w:rPr>
        <w:t>ί</w:t>
      </w:r>
      <w:r w:rsidRPr="0059069F">
        <w:rPr>
          <w:rFonts w:asciiTheme="minorHAnsi" w:hAnsiTheme="minorHAnsi" w:cstheme="minorHAnsi"/>
        </w:rPr>
        <w:t xml:space="preserve">α </w:t>
      </w:r>
      <w:r w:rsidR="002465C4" w:rsidRPr="0059069F">
        <w:rPr>
          <w:rFonts w:asciiTheme="minorHAnsi" w:hAnsiTheme="minorHAnsi" w:cstheme="minorHAnsi"/>
        </w:rPr>
        <w:t xml:space="preserve">(3) </w:t>
      </w:r>
      <w:r w:rsidRPr="0059069F">
        <w:rPr>
          <w:rFonts w:asciiTheme="minorHAnsi" w:hAnsiTheme="minorHAnsi" w:cstheme="minorHAnsi"/>
        </w:rPr>
        <w:t>πρώτα ακαδημαϊκά εξάμηνα που έπονται του χρόνου υποβολής της α</w:t>
      </w:r>
      <w:r w:rsidR="002465C4" w:rsidRPr="0059069F">
        <w:rPr>
          <w:rFonts w:asciiTheme="minorHAnsi" w:hAnsiTheme="minorHAnsi" w:cstheme="minorHAnsi"/>
        </w:rPr>
        <w:t>ί</w:t>
      </w:r>
      <w:r w:rsidRPr="0059069F">
        <w:rPr>
          <w:rFonts w:asciiTheme="minorHAnsi" w:hAnsiTheme="minorHAnsi" w:cstheme="minorHAnsi"/>
        </w:rPr>
        <w:t xml:space="preserve">τησης </w:t>
      </w:r>
      <w:r w:rsidR="002465C4" w:rsidRPr="0059069F">
        <w:rPr>
          <w:rFonts w:asciiTheme="minorHAnsi" w:hAnsiTheme="minorHAnsi" w:cstheme="minorHAnsi"/>
        </w:rPr>
        <w:t>(</w:t>
      </w:r>
      <w:r w:rsidRPr="0059069F">
        <w:rPr>
          <w:rFonts w:asciiTheme="minorHAnsi" w:hAnsiTheme="minorHAnsi" w:cstheme="minorHAnsi"/>
        </w:rPr>
        <w:t>χειμερινό</w:t>
      </w:r>
      <w:r w:rsidR="002465C4" w:rsidRPr="0059069F">
        <w:rPr>
          <w:rFonts w:asciiTheme="minorHAnsi" w:hAnsiTheme="minorHAnsi" w:cstheme="minorHAnsi"/>
        </w:rPr>
        <w:t>,</w:t>
      </w:r>
      <w:r w:rsidRPr="0059069F">
        <w:rPr>
          <w:rFonts w:asciiTheme="minorHAnsi" w:hAnsiTheme="minorHAnsi" w:cstheme="minorHAnsi"/>
        </w:rPr>
        <w:t xml:space="preserve"> εαρινό και χειμερινό)</w:t>
      </w:r>
      <w:r w:rsidR="002465C4" w:rsidRPr="0059069F">
        <w:rPr>
          <w:rFonts w:asciiTheme="minorHAnsi" w:hAnsiTheme="minorHAnsi" w:cstheme="minorHAnsi"/>
        </w:rPr>
        <w:t>,</w:t>
      </w:r>
      <w:r w:rsidRPr="0059069F">
        <w:rPr>
          <w:rFonts w:asciiTheme="minorHAnsi" w:hAnsiTheme="minorHAnsi" w:cstheme="minorHAnsi"/>
        </w:rPr>
        <w:t xml:space="preserve"> καθώς και δικα</w:t>
      </w:r>
      <w:r w:rsidR="002465C4" w:rsidRPr="0059069F">
        <w:rPr>
          <w:rFonts w:asciiTheme="minorHAnsi" w:hAnsiTheme="minorHAnsi" w:cstheme="minorHAnsi"/>
        </w:rPr>
        <w:t>ί</w:t>
      </w:r>
      <w:r w:rsidRPr="0059069F">
        <w:rPr>
          <w:rFonts w:asciiTheme="minorHAnsi" w:hAnsiTheme="minorHAnsi" w:cstheme="minorHAnsi"/>
        </w:rPr>
        <w:t>ωμα συμμετοχής σε κάθε ε</w:t>
      </w:r>
      <w:r w:rsidR="002465C4" w:rsidRPr="0059069F">
        <w:rPr>
          <w:rFonts w:asciiTheme="minorHAnsi" w:hAnsiTheme="minorHAnsi" w:cstheme="minorHAnsi"/>
        </w:rPr>
        <w:t>ί</w:t>
      </w:r>
      <w:r w:rsidRPr="0059069F">
        <w:rPr>
          <w:rFonts w:asciiTheme="minorHAnsi" w:hAnsiTheme="minorHAnsi" w:cstheme="minorHAnsi"/>
        </w:rPr>
        <w:t>δους ακαδημαϊκές διαδικασ</w:t>
      </w:r>
      <w:r w:rsidR="002465C4" w:rsidRPr="0059069F">
        <w:rPr>
          <w:rFonts w:asciiTheme="minorHAnsi" w:hAnsiTheme="minorHAnsi" w:cstheme="minorHAnsi"/>
        </w:rPr>
        <w:t>ί</w:t>
      </w:r>
      <w:r w:rsidRPr="0059069F">
        <w:rPr>
          <w:rFonts w:asciiTheme="minorHAnsi" w:hAnsiTheme="minorHAnsi" w:cstheme="minorHAnsi"/>
        </w:rPr>
        <w:t>ες αξιολόγησης των αντ</w:t>
      </w:r>
      <w:r w:rsidR="002465C4" w:rsidRPr="0059069F">
        <w:rPr>
          <w:rFonts w:asciiTheme="minorHAnsi" w:hAnsiTheme="minorHAnsi" w:cstheme="minorHAnsi"/>
        </w:rPr>
        <w:t>ί</w:t>
      </w:r>
      <w:r w:rsidRPr="0059069F">
        <w:rPr>
          <w:rFonts w:asciiTheme="minorHAnsi" w:hAnsiTheme="minorHAnsi" w:cstheme="minorHAnsi"/>
        </w:rPr>
        <w:t>στοιχων ακαδημαϊκών εξαμήνων</w:t>
      </w:r>
      <w:r w:rsidR="002465C4" w:rsidRPr="0059069F">
        <w:rPr>
          <w:rFonts w:asciiTheme="minorHAnsi" w:hAnsiTheme="minorHAnsi" w:cstheme="minorHAnsi"/>
        </w:rPr>
        <w:t xml:space="preserve">, </w:t>
      </w:r>
      <w:r w:rsidRPr="0059069F">
        <w:rPr>
          <w:rFonts w:asciiTheme="minorHAnsi" w:hAnsiTheme="minorHAnsi" w:cstheme="minorHAnsi"/>
        </w:rPr>
        <w:t>προκειμένου να καταστε</w:t>
      </w:r>
      <w:r w:rsidR="002465C4" w:rsidRPr="0059069F">
        <w:rPr>
          <w:rFonts w:asciiTheme="minorHAnsi" w:hAnsiTheme="minorHAnsi" w:cstheme="minorHAnsi"/>
        </w:rPr>
        <w:t>ί</w:t>
      </w:r>
      <w:r w:rsidRPr="0059069F">
        <w:rPr>
          <w:rFonts w:asciiTheme="minorHAnsi" w:hAnsiTheme="minorHAnsi" w:cstheme="minorHAnsi"/>
        </w:rPr>
        <w:t xml:space="preserve"> δυνατή η ολοκλήρωση των σπουδών </w:t>
      </w:r>
      <w:r w:rsidR="002465C4" w:rsidRPr="0059069F">
        <w:rPr>
          <w:rFonts w:asciiTheme="minorHAnsi" w:hAnsiTheme="minorHAnsi" w:cstheme="minorHAnsi"/>
        </w:rPr>
        <w:t>τους.</w:t>
      </w:r>
      <w:r w:rsidRPr="0059069F">
        <w:rPr>
          <w:rFonts w:asciiTheme="minorHAnsi" w:hAnsiTheme="minorHAnsi" w:cstheme="minorHAnsi"/>
        </w:rPr>
        <w:t xml:space="preserve"> Στην περ</w:t>
      </w:r>
      <w:r w:rsidR="002465C4" w:rsidRPr="0059069F">
        <w:rPr>
          <w:rFonts w:asciiTheme="minorHAnsi" w:hAnsiTheme="minorHAnsi" w:cstheme="minorHAnsi"/>
        </w:rPr>
        <w:t>ί</w:t>
      </w:r>
      <w:r w:rsidRPr="0059069F">
        <w:rPr>
          <w:rFonts w:asciiTheme="minorHAnsi" w:hAnsiTheme="minorHAnsi" w:cstheme="minorHAnsi"/>
        </w:rPr>
        <w:t>πτωση του τελευτα</w:t>
      </w:r>
      <w:r w:rsidR="002465C4" w:rsidRPr="0059069F">
        <w:rPr>
          <w:rFonts w:asciiTheme="minorHAnsi" w:hAnsiTheme="minorHAnsi" w:cstheme="minorHAnsi"/>
        </w:rPr>
        <w:t>ί</w:t>
      </w:r>
      <w:r w:rsidRPr="0059069F">
        <w:rPr>
          <w:rFonts w:asciiTheme="minorHAnsi" w:hAnsiTheme="minorHAnsi" w:cstheme="minorHAnsi"/>
        </w:rPr>
        <w:t>ου εδαφ</w:t>
      </w:r>
      <w:r w:rsidR="002465C4" w:rsidRPr="0059069F">
        <w:rPr>
          <w:rFonts w:asciiTheme="minorHAnsi" w:hAnsiTheme="minorHAnsi" w:cstheme="minorHAnsi"/>
        </w:rPr>
        <w:t>ί</w:t>
      </w:r>
      <w:r w:rsidRPr="0059069F">
        <w:rPr>
          <w:rFonts w:asciiTheme="minorHAnsi" w:hAnsiTheme="minorHAnsi" w:cstheme="minorHAnsi"/>
        </w:rPr>
        <w:t>ου</w:t>
      </w:r>
      <w:r w:rsidR="002465C4" w:rsidRPr="0059069F">
        <w:rPr>
          <w:rFonts w:asciiTheme="minorHAnsi" w:hAnsiTheme="minorHAnsi" w:cstheme="minorHAnsi"/>
        </w:rPr>
        <w:t xml:space="preserve">, </w:t>
      </w:r>
      <w:r w:rsidRPr="0059069F">
        <w:rPr>
          <w:rFonts w:asciiTheme="minorHAnsi" w:hAnsiTheme="minorHAnsi" w:cstheme="minorHAnsi"/>
        </w:rPr>
        <w:t>ο χρόνος παράτασης της διάρκειας σπουδών ολοκληρώνεται με τη συμμετοχή του φοιτητή στην εξεταστική του τελευτα</w:t>
      </w:r>
      <w:r w:rsidR="002465C4" w:rsidRPr="0059069F">
        <w:rPr>
          <w:rFonts w:asciiTheme="minorHAnsi" w:hAnsiTheme="minorHAnsi" w:cstheme="minorHAnsi"/>
        </w:rPr>
        <w:t>ί</w:t>
      </w:r>
      <w:r w:rsidRPr="0059069F">
        <w:rPr>
          <w:rFonts w:asciiTheme="minorHAnsi" w:hAnsiTheme="minorHAnsi" w:cstheme="minorHAnsi"/>
        </w:rPr>
        <w:t>ου κατά σειρά χειμερινού εξαμήνου και δεν παρέχεται δικα</w:t>
      </w:r>
      <w:r w:rsidR="002465C4" w:rsidRPr="0059069F">
        <w:rPr>
          <w:rFonts w:asciiTheme="minorHAnsi" w:hAnsiTheme="minorHAnsi" w:cstheme="minorHAnsi"/>
        </w:rPr>
        <w:t>ί</w:t>
      </w:r>
      <w:r w:rsidRPr="0059069F">
        <w:rPr>
          <w:rFonts w:asciiTheme="minorHAnsi" w:hAnsiTheme="minorHAnsi" w:cstheme="minorHAnsi"/>
        </w:rPr>
        <w:t>ωμα συμμετοχής στη δεύτερη σε σειρά επαναληπτική εξεταστική του Σεπτεμβρ</w:t>
      </w:r>
      <w:r w:rsidR="002465C4" w:rsidRPr="0059069F">
        <w:rPr>
          <w:rFonts w:asciiTheme="minorHAnsi" w:hAnsiTheme="minorHAnsi" w:cstheme="minorHAnsi"/>
        </w:rPr>
        <w:t>ί</w:t>
      </w:r>
      <w:r w:rsidRPr="0059069F">
        <w:rPr>
          <w:rFonts w:asciiTheme="minorHAnsi" w:hAnsiTheme="minorHAnsi" w:cstheme="minorHAnsi"/>
        </w:rPr>
        <w:t>ου μετά την έκδοση της απόφασης παράτασης</w:t>
      </w:r>
      <w:r w:rsidR="002465C4" w:rsidRPr="0059069F">
        <w:rPr>
          <w:rFonts w:asciiTheme="minorHAnsi" w:hAnsiTheme="minorHAnsi" w:cstheme="minorHAnsi"/>
        </w:rPr>
        <w:t>.</w:t>
      </w:r>
      <w:r w:rsidRPr="0059069F">
        <w:rPr>
          <w:rFonts w:asciiTheme="minorHAnsi" w:hAnsiTheme="minorHAnsi" w:cstheme="minorHAnsi"/>
        </w:rPr>
        <w:t xml:space="preserve"> </w:t>
      </w:r>
    </w:p>
    <w:p w14:paraId="0F0C2A2A" w14:textId="1AF649A5" w:rsidR="00580B3B" w:rsidRPr="0059069F" w:rsidRDefault="00580B3B" w:rsidP="00590BA2">
      <w:pPr>
        <w:spacing w:after="240"/>
        <w:jc w:val="both"/>
        <w:rPr>
          <w:rFonts w:cs="Calibri"/>
        </w:rPr>
      </w:pPr>
      <w:r w:rsidRPr="0059069F">
        <w:rPr>
          <w:rFonts w:cs="Calibri"/>
        </w:rPr>
        <w:t xml:space="preserve">Κατά τη διάρκεια της παράτασης, δεν είναι δυνατή η υποβολή αίτησης για μερική φοίτηση και διακοπή φοίτησης όπως καθορίζονται στους αντίστοιχους Κανονισμούς Μερικής φοίτησης και Διακοπής φοίτησης. </w:t>
      </w:r>
      <w:r w:rsidR="006D73D4" w:rsidRPr="0059069F">
        <w:rPr>
          <w:rFonts w:cs="Calibri"/>
        </w:rPr>
        <w:t>Κατ’ εξαίρεση</w:t>
      </w:r>
      <w:r w:rsidR="00A513D0" w:rsidRPr="0059069F">
        <w:rPr>
          <w:rFonts w:cs="Calibri"/>
        </w:rPr>
        <w:t>,</w:t>
      </w:r>
      <w:r w:rsidR="006D73D4" w:rsidRPr="0059069F">
        <w:rPr>
          <w:rFonts w:cs="Calibri"/>
        </w:rPr>
        <w:t xml:space="preserve"> επιτρέπεται υπέρβαση της ανώτατης διάρκειας φοίτησης κατά τη διάρκεια της παράτασης για σοβαρούς λόγους υγείας, σύμφωνα με το άρθρο 8 του παρόντος.</w:t>
      </w:r>
    </w:p>
    <w:p w14:paraId="60BA5603" w14:textId="77777777" w:rsidR="00580B3B" w:rsidRPr="0059069F" w:rsidRDefault="00580B3B" w:rsidP="00580B3B">
      <w:pPr>
        <w:jc w:val="center"/>
        <w:rPr>
          <w:rFonts w:cs="Calibri"/>
          <w:b/>
          <w:bCs/>
        </w:rPr>
      </w:pPr>
    </w:p>
    <w:p w14:paraId="6782993D" w14:textId="76E5CF02" w:rsidR="00580B3B" w:rsidRPr="0059069F" w:rsidRDefault="00580B3B" w:rsidP="00580B3B">
      <w:pPr>
        <w:spacing w:after="240"/>
        <w:jc w:val="center"/>
        <w:rPr>
          <w:rFonts w:cs="Calibri"/>
          <w:b/>
          <w:bCs/>
        </w:rPr>
      </w:pPr>
      <w:r w:rsidRPr="0059069F">
        <w:rPr>
          <w:rFonts w:cs="Calibri"/>
          <w:b/>
          <w:bCs/>
        </w:rPr>
        <w:t xml:space="preserve">Άρθρο </w:t>
      </w:r>
      <w:r w:rsidR="00C414F5" w:rsidRPr="0059069F">
        <w:rPr>
          <w:rFonts w:cs="Calibri"/>
          <w:b/>
          <w:bCs/>
        </w:rPr>
        <w:t>7</w:t>
      </w:r>
    </w:p>
    <w:p w14:paraId="183DA56F" w14:textId="6059204A" w:rsidR="00580B3B" w:rsidRPr="0059069F" w:rsidRDefault="00580B3B" w:rsidP="00580B3B">
      <w:pPr>
        <w:jc w:val="both"/>
        <w:rPr>
          <w:rFonts w:cs="Calibri"/>
        </w:rPr>
      </w:pPr>
      <w:r w:rsidRPr="0059069F">
        <w:rPr>
          <w:rFonts w:cs="Calibri"/>
        </w:rPr>
        <w:t xml:space="preserve">Φοιτητές/ </w:t>
      </w:r>
      <w:proofErr w:type="spellStart"/>
      <w:r w:rsidRPr="0059069F">
        <w:rPr>
          <w:rFonts w:cs="Calibri"/>
        </w:rPr>
        <w:t>τριες</w:t>
      </w:r>
      <w:proofErr w:type="spellEnd"/>
      <w:r w:rsidRPr="0059069F">
        <w:rPr>
          <w:rFonts w:cs="Calibri"/>
        </w:rPr>
        <w:t xml:space="preserve"> για τους/τις οποίους/</w:t>
      </w:r>
      <w:proofErr w:type="spellStart"/>
      <w:r w:rsidRPr="0059069F">
        <w:rPr>
          <w:rFonts w:cs="Calibri"/>
        </w:rPr>
        <w:t>ες</w:t>
      </w:r>
      <w:proofErr w:type="spellEnd"/>
      <w:r w:rsidRPr="0059069F">
        <w:rPr>
          <w:rFonts w:cs="Calibri"/>
        </w:rPr>
        <w:t xml:space="preserve"> εκκρεμεί η επιτυχής εξέταση σε έως δύο (2) μαθήματα για τη λήψη του πτυχίου, μετά από την πάροδο του χρονικού διαστήματος της παράτασης σύμφωνα με το άρθρο </w:t>
      </w:r>
      <w:r w:rsidR="00C414F5" w:rsidRPr="0059069F">
        <w:rPr>
          <w:rFonts w:cs="Calibri"/>
        </w:rPr>
        <w:t>6</w:t>
      </w:r>
      <w:r w:rsidRPr="0059069F">
        <w:rPr>
          <w:rFonts w:cs="Calibri"/>
        </w:rPr>
        <w:t xml:space="preserve"> του παρόντος Κανονισμού, δύνανται εντός αποκλειστικής προθεσμίας δέκα (10) ημερών από την έκδοση των αποτελεσμάτων της τελευταίας εξεταστικής περιόδου, να υποβάλουν </w:t>
      </w:r>
      <w:proofErr w:type="spellStart"/>
      <w:r w:rsidR="003F1B34" w:rsidRPr="0059069F">
        <w:rPr>
          <w:rFonts w:cs="Calibri"/>
        </w:rPr>
        <w:t>κατ</w:t>
      </w:r>
      <w:proofErr w:type="spellEnd"/>
      <w:r w:rsidR="003F1B34" w:rsidRPr="0059069F">
        <w:rPr>
          <w:rFonts w:cs="Calibri"/>
        </w:rPr>
        <w:t xml:space="preserve">΄ εξαίρεση </w:t>
      </w:r>
      <w:r w:rsidRPr="0059069F">
        <w:rPr>
          <w:rFonts w:cs="Calibri"/>
        </w:rPr>
        <w:t>αίτημα διενέργειας έκτακτης εμβόλιμης εξεταστικής αποκλειστικά για τα οφειλόμενα μαθήματα και αναστολή</w:t>
      </w:r>
      <w:r w:rsidR="00C414F5" w:rsidRPr="0059069F">
        <w:rPr>
          <w:rFonts w:cs="Calibri"/>
        </w:rPr>
        <w:t>ς</w:t>
      </w:r>
      <w:r w:rsidRPr="0059069F">
        <w:rPr>
          <w:rFonts w:cs="Calibri"/>
        </w:rPr>
        <w:t xml:space="preserve"> της αυτοδίκαιης διαγραφής τους έως την έκδοση των αποτελεσμάτων της εμβόλιμης εξεταστικής. </w:t>
      </w:r>
    </w:p>
    <w:p w14:paraId="7DBB78E3" w14:textId="0B37D6CD" w:rsidR="003F1B34" w:rsidRPr="0059069F" w:rsidRDefault="003F1B34" w:rsidP="00580B3B">
      <w:pPr>
        <w:jc w:val="both"/>
        <w:rPr>
          <w:rFonts w:cs="Calibri"/>
        </w:rPr>
      </w:pPr>
    </w:p>
    <w:p w14:paraId="1CB12C55" w14:textId="74A4E26E" w:rsidR="003F1B34" w:rsidRPr="0059069F" w:rsidRDefault="003F1B34" w:rsidP="003F1B34">
      <w:pPr>
        <w:jc w:val="both"/>
        <w:rPr>
          <w:rFonts w:cs="Calibri"/>
        </w:rPr>
      </w:pPr>
      <w:r w:rsidRPr="0059069F">
        <w:rPr>
          <w:rFonts w:cs="Calibri"/>
        </w:rPr>
        <w:t>Το δικαίωμα αιτήματος διενέργειας εμβόλιμης εξεταστικής παρέχεται αποκλειστικά μετά την άσκηση του δικαιώματος παράτασης της ανώτατης διάρκειας φοίτησης σύμφωνα με την παρ.</w:t>
      </w:r>
      <w:r w:rsidR="003B1573" w:rsidRPr="0059069F">
        <w:rPr>
          <w:rFonts w:cs="Calibri"/>
        </w:rPr>
        <w:t xml:space="preserve"> </w:t>
      </w:r>
      <w:r w:rsidRPr="0059069F">
        <w:rPr>
          <w:rFonts w:cs="Calibri"/>
        </w:rPr>
        <w:t xml:space="preserve">1 του άρθρου 3 του παρόντος Κανονισμού. </w:t>
      </w:r>
    </w:p>
    <w:p w14:paraId="469B38F3" w14:textId="0717725D" w:rsidR="00C414F5" w:rsidRPr="0059069F" w:rsidRDefault="00200A9F" w:rsidP="00C414F5">
      <w:pPr>
        <w:pStyle w:val="Web"/>
        <w:shd w:val="clear" w:color="auto" w:fill="FFFFFF"/>
        <w:jc w:val="both"/>
        <w:rPr>
          <w:rFonts w:asciiTheme="minorHAnsi" w:hAnsiTheme="minorHAnsi" w:cstheme="minorHAnsi"/>
        </w:rPr>
      </w:pPr>
      <w:r w:rsidRPr="0059069F">
        <w:rPr>
          <w:rFonts w:asciiTheme="minorHAnsi" w:hAnsiTheme="minorHAnsi" w:cstheme="minorHAnsi"/>
        </w:rPr>
        <w:t>Η Γραμματεία του Τμήματος ή της Μονοτμηματικής Σχολής οφείλει αμέσως μετά την έκδοση των αποτελεσμάτων της τελευταίας εξεταστικής περιόδου και με κάθε πρόσφορο τρόπο να ενημερώ</w:t>
      </w:r>
      <w:r w:rsidR="00C414F5" w:rsidRPr="0059069F">
        <w:rPr>
          <w:rFonts w:asciiTheme="minorHAnsi" w:hAnsiTheme="minorHAnsi" w:cstheme="minorHAnsi"/>
        </w:rPr>
        <w:t>ν</w:t>
      </w:r>
      <w:r w:rsidRPr="0059069F">
        <w:rPr>
          <w:rFonts w:asciiTheme="minorHAnsi" w:hAnsiTheme="minorHAnsi" w:cstheme="minorHAnsi"/>
        </w:rPr>
        <w:t>ει</w:t>
      </w:r>
      <w:r w:rsidR="00C414F5" w:rsidRPr="0059069F">
        <w:rPr>
          <w:rFonts w:asciiTheme="minorHAnsi" w:hAnsiTheme="minorHAnsi" w:cstheme="minorHAnsi"/>
        </w:rPr>
        <w:t>, με ανάρτηση στην ιστοσελίδα του Τμήματος και κάθε άλλο πρόσφορο μέσο,</w:t>
      </w:r>
      <w:r w:rsidRPr="0059069F">
        <w:rPr>
          <w:rFonts w:asciiTheme="minorHAnsi" w:hAnsiTheme="minorHAnsi" w:cstheme="minorHAnsi"/>
        </w:rPr>
        <w:t xml:space="preserve"> τους/τις φοιτητές/τριες για </w:t>
      </w:r>
      <w:r w:rsidR="00C414F5" w:rsidRPr="0059069F">
        <w:rPr>
          <w:rFonts w:asciiTheme="minorHAnsi" w:hAnsiTheme="minorHAnsi" w:cstheme="minorHAnsi"/>
        </w:rPr>
        <w:t xml:space="preserve">το δικαίωμα υποβολής αίτησης διενέργειας εμβόλιμης εξεταστικής και την </w:t>
      </w:r>
      <w:r w:rsidRPr="0059069F">
        <w:rPr>
          <w:rFonts w:asciiTheme="minorHAnsi" w:hAnsiTheme="minorHAnsi" w:cstheme="minorHAnsi"/>
        </w:rPr>
        <w:t xml:space="preserve">έναρξη της προβλεπόμενης αποκλειστικής προθεσμίας </w:t>
      </w:r>
      <w:r w:rsidR="00C414F5" w:rsidRPr="0059069F">
        <w:rPr>
          <w:rFonts w:asciiTheme="minorHAnsi" w:hAnsiTheme="minorHAnsi" w:cstheme="minorHAnsi"/>
        </w:rPr>
        <w:t>των δέκα (</w:t>
      </w:r>
      <w:r w:rsidRPr="0059069F">
        <w:rPr>
          <w:rFonts w:asciiTheme="minorHAnsi" w:hAnsiTheme="minorHAnsi" w:cstheme="minorHAnsi"/>
        </w:rPr>
        <w:t>10</w:t>
      </w:r>
      <w:r w:rsidR="00C414F5" w:rsidRPr="0059069F">
        <w:rPr>
          <w:rFonts w:asciiTheme="minorHAnsi" w:hAnsiTheme="minorHAnsi" w:cstheme="minorHAnsi"/>
        </w:rPr>
        <w:t>)</w:t>
      </w:r>
      <w:r w:rsidRPr="0059069F">
        <w:rPr>
          <w:rFonts w:asciiTheme="minorHAnsi" w:hAnsiTheme="minorHAnsi" w:cstheme="minorHAnsi"/>
        </w:rPr>
        <w:t xml:space="preserve"> ημερών</w:t>
      </w:r>
      <w:r w:rsidR="00C414F5" w:rsidRPr="0059069F">
        <w:rPr>
          <w:rFonts w:asciiTheme="minorHAnsi" w:hAnsiTheme="minorHAnsi" w:cstheme="minorHAnsi"/>
        </w:rPr>
        <w:t xml:space="preserve"> </w:t>
      </w:r>
      <w:r w:rsidRPr="0059069F">
        <w:rPr>
          <w:rFonts w:asciiTheme="minorHAnsi" w:hAnsiTheme="minorHAnsi" w:cstheme="minorHAnsi"/>
        </w:rPr>
        <w:t xml:space="preserve">για την υποβολή </w:t>
      </w:r>
      <w:r w:rsidR="00C414F5" w:rsidRPr="0059069F">
        <w:rPr>
          <w:rFonts w:asciiTheme="minorHAnsi" w:hAnsiTheme="minorHAnsi" w:cstheme="minorHAnsi"/>
        </w:rPr>
        <w:t>των σχετικών αιτήσεων</w:t>
      </w:r>
      <w:r w:rsidRPr="0059069F">
        <w:rPr>
          <w:rFonts w:asciiTheme="minorHAnsi" w:hAnsiTheme="minorHAnsi" w:cstheme="minorHAnsi"/>
        </w:rPr>
        <w:t xml:space="preserve">. </w:t>
      </w:r>
      <w:r w:rsidR="00C414F5" w:rsidRPr="0059069F">
        <w:rPr>
          <w:rFonts w:asciiTheme="minorHAnsi" w:hAnsiTheme="minorHAnsi" w:cstheme="minorHAnsi"/>
        </w:rPr>
        <w:t xml:space="preserve">Οι αιτήσεις διενέργειας εμβόλιμης εξεταστικής ελέγχονται από τη Γραμματεία του Τμήματος ή της Μονοτμηματικής Σχολής και εκδίδεται επί αυτών απόφαση της Συνέλευσης του </w:t>
      </w:r>
      <w:r w:rsidR="00C414F5" w:rsidRPr="0059069F">
        <w:rPr>
          <w:rFonts w:asciiTheme="minorHAnsi" w:hAnsiTheme="minorHAnsi" w:cstheme="minorHAnsi"/>
        </w:rPr>
        <w:lastRenderedPageBreak/>
        <w:t>Τμήματος ή της Συνέλευσης της Μονοτμηματικής Σχολής με την οποία καθορίζεται το πρόγραμμα της εμβόλιμης εξεταστικής. Δικαίωμα συμμετοχής στην εμβόλιμη εξεταστική έχουν αποκλειστικά οι φοιτητές που έχουν υποβάλει σχετική αίτηση για τα μαθήματα που οφείλουν.</w:t>
      </w:r>
    </w:p>
    <w:p w14:paraId="06AA409A" w14:textId="6BF71174" w:rsidR="00C414F5" w:rsidRPr="0059069F" w:rsidRDefault="00580B3B" w:rsidP="00C414F5">
      <w:pPr>
        <w:pStyle w:val="Web"/>
        <w:shd w:val="clear" w:color="auto" w:fill="FFFFFF"/>
        <w:jc w:val="both"/>
        <w:rPr>
          <w:rFonts w:asciiTheme="minorHAnsi" w:hAnsiTheme="minorHAnsi" w:cstheme="minorHAnsi"/>
        </w:rPr>
      </w:pPr>
      <w:r w:rsidRPr="0059069F">
        <w:rPr>
          <w:rFonts w:asciiTheme="minorHAnsi" w:hAnsiTheme="minorHAnsi" w:cstheme="minorHAnsi"/>
        </w:rPr>
        <w:t xml:space="preserve">Το Τμήμα ή η Μονοτμηματική Σχολή διοργανώνει </w:t>
      </w:r>
      <w:r w:rsidR="003F1B34" w:rsidRPr="0059069F">
        <w:rPr>
          <w:rFonts w:asciiTheme="minorHAnsi" w:hAnsiTheme="minorHAnsi" w:cstheme="minorHAnsi"/>
        </w:rPr>
        <w:t xml:space="preserve">υποχρεωτικά </w:t>
      </w:r>
      <w:r w:rsidRPr="0059069F">
        <w:rPr>
          <w:rFonts w:asciiTheme="minorHAnsi" w:hAnsiTheme="minorHAnsi" w:cstheme="minorHAnsi"/>
        </w:rPr>
        <w:t>έκτακτη εμβόλιμη εξεταστική</w:t>
      </w:r>
      <w:r w:rsidR="003F1B34" w:rsidRPr="0059069F">
        <w:rPr>
          <w:rFonts w:asciiTheme="minorHAnsi" w:hAnsiTheme="minorHAnsi" w:cstheme="minorHAnsi"/>
        </w:rPr>
        <w:t xml:space="preserve"> εφόσον πληρούνται οι </w:t>
      </w:r>
      <w:r w:rsidR="00B76697" w:rsidRPr="0059069F">
        <w:rPr>
          <w:rFonts w:asciiTheme="minorHAnsi" w:hAnsiTheme="minorHAnsi" w:cstheme="minorHAnsi"/>
        </w:rPr>
        <w:t>προϋποθέσεις</w:t>
      </w:r>
      <w:r w:rsidRPr="0059069F">
        <w:rPr>
          <w:rFonts w:asciiTheme="minorHAnsi" w:hAnsiTheme="minorHAnsi" w:cstheme="minorHAnsi"/>
        </w:rPr>
        <w:t xml:space="preserve">, τα αποτελέσματα της οποίας εκδίδονται το αργότερο έως τη 15η Δεκεμβρίου κάθε έτους. </w:t>
      </w:r>
      <w:proofErr w:type="spellStart"/>
      <w:r w:rsidR="00C414F5" w:rsidRPr="0059069F">
        <w:rPr>
          <w:rFonts w:asciiTheme="minorHAnsi" w:hAnsiTheme="minorHAnsi" w:cstheme="minorHAnsi"/>
        </w:rPr>
        <w:t>Ειδικα</w:t>
      </w:r>
      <w:proofErr w:type="spellEnd"/>
      <w:r w:rsidR="00C414F5" w:rsidRPr="0059069F">
        <w:rPr>
          <w:rFonts w:asciiTheme="minorHAnsi" w:hAnsiTheme="minorHAnsi" w:cstheme="minorHAnsi"/>
        </w:rPr>
        <w:t xml:space="preserve">́ για </w:t>
      </w:r>
      <w:r w:rsidR="00A513D0" w:rsidRPr="0059069F">
        <w:rPr>
          <w:rFonts w:asciiTheme="minorHAnsi" w:hAnsiTheme="minorHAnsi" w:cstheme="minorHAnsi"/>
        </w:rPr>
        <w:t>τους/τις</w:t>
      </w:r>
      <w:r w:rsidR="00C414F5" w:rsidRPr="0059069F">
        <w:rPr>
          <w:rFonts w:asciiTheme="minorHAnsi" w:hAnsiTheme="minorHAnsi" w:cstheme="minorHAnsi"/>
        </w:rPr>
        <w:t xml:space="preserve"> </w:t>
      </w:r>
      <w:proofErr w:type="spellStart"/>
      <w:r w:rsidR="00C414F5" w:rsidRPr="0059069F">
        <w:rPr>
          <w:rFonts w:asciiTheme="minorHAnsi" w:hAnsiTheme="minorHAnsi" w:cstheme="minorHAnsi"/>
        </w:rPr>
        <w:t>φοιτητές</w:t>
      </w:r>
      <w:proofErr w:type="spellEnd"/>
      <w:r w:rsidR="00A513D0" w:rsidRPr="0059069F">
        <w:rPr>
          <w:rFonts w:asciiTheme="minorHAnsi" w:hAnsiTheme="minorHAnsi" w:cstheme="minorHAnsi"/>
        </w:rPr>
        <w:t>/</w:t>
      </w:r>
      <w:proofErr w:type="spellStart"/>
      <w:r w:rsidR="00A513D0" w:rsidRPr="0059069F">
        <w:rPr>
          <w:rFonts w:asciiTheme="minorHAnsi" w:hAnsiTheme="minorHAnsi" w:cstheme="minorHAnsi"/>
        </w:rPr>
        <w:t>τριες</w:t>
      </w:r>
      <w:proofErr w:type="spellEnd"/>
      <w:r w:rsidR="00C414F5" w:rsidRPr="0059069F">
        <w:rPr>
          <w:rFonts w:asciiTheme="minorHAnsi" w:hAnsiTheme="minorHAnsi" w:cstheme="minorHAnsi"/>
        </w:rPr>
        <w:t xml:space="preserve"> που </w:t>
      </w:r>
      <w:proofErr w:type="spellStart"/>
      <w:r w:rsidR="00C414F5" w:rsidRPr="0059069F">
        <w:rPr>
          <w:rFonts w:asciiTheme="minorHAnsi" w:hAnsiTheme="minorHAnsi" w:cstheme="minorHAnsi"/>
        </w:rPr>
        <w:t>ασκούν</w:t>
      </w:r>
      <w:proofErr w:type="spellEnd"/>
      <w:r w:rsidR="00C414F5" w:rsidRPr="0059069F">
        <w:rPr>
          <w:rFonts w:asciiTheme="minorHAnsi" w:hAnsiTheme="minorHAnsi" w:cstheme="minorHAnsi"/>
        </w:rPr>
        <w:t xml:space="preserve"> το δικαίωμα </w:t>
      </w:r>
      <w:proofErr w:type="spellStart"/>
      <w:r w:rsidR="00C414F5" w:rsidRPr="0059069F">
        <w:rPr>
          <w:rFonts w:asciiTheme="minorHAnsi" w:hAnsiTheme="minorHAnsi" w:cstheme="minorHAnsi"/>
        </w:rPr>
        <w:t>υποβολής</w:t>
      </w:r>
      <w:proofErr w:type="spellEnd"/>
      <w:r w:rsidR="00C414F5" w:rsidRPr="0059069F">
        <w:rPr>
          <w:rFonts w:asciiTheme="minorHAnsi" w:hAnsiTheme="minorHAnsi" w:cstheme="minorHAnsi"/>
        </w:rPr>
        <w:t xml:space="preserve"> αίτησης διενέργειας εμβόλιμης εξεταστικής μετά από παράταση της διάρκειας σπουδών για τρία (3) ακαδημαικά εξάμηνα σύμφωνα με την περ. β) της παρ. 1 του άρθρου 6, τα αποτελέσματα της εμβόλιμης </w:t>
      </w:r>
      <w:proofErr w:type="spellStart"/>
      <w:r w:rsidR="00C414F5" w:rsidRPr="0059069F">
        <w:rPr>
          <w:rFonts w:asciiTheme="minorHAnsi" w:hAnsiTheme="minorHAnsi" w:cstheme="minorHAnsi"/>
        </w:rPr>
        <w:t>εξεταστικής</w:t>
      </w:r>
      <w:proofErr w:type="spellEnd"/>
      <w:r w:rsidR="00C414F5" w:rsidRPr="0059069F">
        <w:rPr>
          <w:rFonts w:asciiTheme="minorHAnsi" w:hAnsiTheme="minorHAnsi" w:cstheme="minorHAnsi"/>
        </w:rPr>
        <w:t xml:space="preserve"> εκδίδονται το </w:t>
      </w:r>
      <w:proofErr w:type="spellStart"/>
      <w:r w:rsidR="00C414F5" w:rsidRPr="0059069F">
        <w:rPr>
          <w:rFonts w:asciiTheme="minorHAnsi" w:hAnsiTheme="minorHAnsi" w:cstheme="minorHAnsi"/>
        </w:rPr>
        <w:t>αργότερο</w:t>
      </w:r>
      <w:proofErr w:type="spellEnd"/>
      <w:r w:rsidR="00C414F5" w:rsidRPr="0059069F">
        <w:rPr>
          <w:rFonts w:asciiTheme="minorHAnsi" w:hAnsiTheme="minorHAnsi" w:cstheme="minorHAnsi"/>
        </w:rPr>
        <w:t xml:space="preserve"> </w:t>
      </w:r>
      <w:proofErr w:type="spellStart"/>
      <w:r w:rsidR="00C414F5" w:rsidRPr="0059069F">
        <w:rPr>
          <w:rFonts w:asciiTheme="minorHAnsi" w:hAnsiTheme="minorHAnsi" w:cstheme="minorHAnsi"/>
        </w:rPr>
        <w:t>έως</w:t>
      </w:r>
      <w:proofErr w:type="spellEnd"/>
      <w:r w:rsidR="00C414F5" w:rsidRPr="0059069F">
        <w:rPr>
          <w:rFonts w:asciiTheme="minorHAnsi" w:hAnsiTheme="minorHAnsi" w:cstheme="minorHAnsi"/>
        </w:rPr>
        <w:t xml:space="preserve"> </w:t>
      </w:r>
      <w:r w:rsidR="00A513D0" w:rsidRPr="0059069F">
        <w:rPr>
          <w:rFonts w:asciiTheme="minorHAnsi" w:hAnsiTheme="minorHAnsi" w:cstheme="minorHAnsi"/>
        </w:rPr>
        <w:t>31</w:t>
      </w:r>
      <w:r w:rsidR="00C414F5" w:rsidRPr="0059069F">
        <w:rPr>
          <w:rFonts w:asciiTheme="minorHAnsi" w:hAnsiTheme="minorHAnsi" w:cstheme="minorHAnsi"/>
        </w:rPr>
        <w:t xml:space="preserve">η </w:t>
      </w:r>
      <w:proofErr w:type="spellStart"/>
      <w:r w:rsidR="00C414F5" w:rsidRPr="0059069F">
        <w:rPr>
          <w:rFonts w:asciiTheme="minorHAnsi" w:hAnsiTheme="minorHAnsi" w:cstheme="minorHAnsi"/>
        </w:rPr>
        <w:t>Μαΐου</w:t>
      </w:r>
      <w:proofErr w:type="spellEnd"/>
      <w:r w:rsidR="00C414F5" w:rsidRPr="0059069F">
        <w:rPr>
          <w:rFonts w:asciiTheme="minorHAnsi" w:hAnsiTheme="minorHAnsi" w:cstheme="minorHAnsi"/>
        </w:rPr>
        <w:t xml:space="preserve"> </w:t>
      </w:r>
      <w:proofErr w:type="spellStart"/>
      <w:r w:rsidR="00C414F5" w:rsidRPr="0059069F">
        <w:rPr>
          <w:rFonts w:asciiTheme="minorHAnsi" w:hAnsiTheme="minorHAnsi" w:cstheme="minorHAnsi"/>
        </w:rPr>
        <w:t>εκάστου</w:t>
      </w:r>
      <w:proofErr w:type="spellEnd"/>
      <w:r w:rsidR="00C414F5" w:rsidRPr="0059069F">
        <w:rPr>
          <w:rFonts w:asciiTheme="minorHAnsi" w:hAnsiTheme="minorHAnsi" w:cstheme="minorHAnsi"/>
        </w:rPr>
        <w:t xml:space="preserve"> </w:t>
      </w:r>
      <w:proofErr w:type="spellStart"/>
      <w:r w:rsidR="00C414F5" w:rsidRPr="0059069F">
        <w:rPr>
          <w:rFonts w:asciiTheme="minorHAnsi" w:hAnsiTheme="minorHAnsi" w:cstheme="minorHAnsi"/>
        </w:rPr>
        <w:t>έτους</w:t>
      </w:r>
      <w:proofErr w:type="spellEnd"/>
      <w:r w:rsidR="00C414F5" w:rsidRPr="0059069F">
        <w:rPr>
          <w:rFonts w:asciiTheme="minorHAnsi" w:hAnsiTheme="minorHAnsi" w:cstheme="minorHAnsi"/>
        </w:rPr>
        <w:t xml:space="preserve">. </w:t>
      </w:r>
      <w:r w:rsidRPr="0059069F">
        <w:rPr>
          <w:rFonts w:asciiTheme="minorHAnsi" w:hAnsiTheme="minorHAnsi" w:cstheme="minorHAnsi"/>
        </w:rPr>
        <w:t>Αν οι φοιτητές</w:t>
      </w:r>
      <w:r w:rsidR="00A513D0" w:rsidRPr="0059069F">
        <w:rPr>
          <w:rFonts w:asciiTheme="minorHAnsi" w:hAnsiTheme="minorHAnsi" w:cstheme="minorHAnsi"/>
        </w:rPr>
        <w:t>/</w:t>
      </w:r>
      <w:proofErr w:type="spellStart"/>
      <w:r w:rsidR="00A513D0" w:rsidRPr="0059069F">
        <w:rPr>
          <w:rFonts w:asciiTheme="minorHAnsi" w:hAnsiTheme="minorHAnsi" w:cstheme="minorHAnsi"/>
        </w:rPr>
        <w:t>τριες</w:t>
      </w:r>
      <w:proofErr w:type="spellEnd"/>
      <w:r w:rsidRPr="0059069F">
        <w:rPr>
          <w:rFonts w:asciiTheme="minorHAnsi" w:hAnsiTheme="minorHAnsi" w:cstheme="minorHAnsi"/>
        </w:rPr>
        <w:t xml:space="preserve"> δεν αξιολογηθούν επιτυχώς και δεν καταστούν πτυχιούχοι </w:t>
      </w:r>
      <w:r w:rsidR="00C414F5" w:rsidRPr="0059069F">
        <w:rPr>
          <w:rFonts w:asciiTheme="minorHAnsi" w:hAnsiTheme="minorHAnsi" w:cstheme="minorHAnsi"/>
        </w:rPr>
        <w:t>μετά την έκδοση των αποτελεσμάτων της εμβόλιμης εξεταστικής</w:t>
      </w:r>
      <w:r w:rsidRPr="0059069F">
        <w:rPr>
          <w:rFonts w:asciiTheme="minorHAnsi" w:hAnsiTheme="minorHAnsi" w:cstheme="minorHAnsi"/>
        </w:rPr>
        <w:t>, διαγράφονται αυτοδικαίως</w:t>
      </w:r>
      <w:r w:rsidR="00C414F5" w:rsidRPr="0059069F">
        <w:rPr>
          <w:rFonts w:asciiTheme="minorHAnsi" w:hAnsiTheme="minorHAnsi" w:cstheme="minorHAnsi"/>
        </w:rPr>
        <w:t>.</w:t>
      </w:r>
    </w:p>
    <w:p w14:paraId="157975B1" w14:textId="77777777" w:rsidR="00C414F5" w:rsidRPr="0059069F" w:rsidRDefault="00C414F5" w:rsidP="00C414F5">
      <w:pPr>
        <w:pStyle w:val="Web"/>
        <w:shd w:val="clear" w:color="auto" w:fill="FFFFFF"/>
        <w:spacing w:before="0" w:beforeAutospacing="0" w:after="0" w:afterAutospacing="0"/>
        <w:jc w:val="both"/>
        <w:rPr>
          <w:rFonts w:asciiTheme="minorHAnsi" w:hAnsiTheme="minorHAnsi" w:cstheme="minorHAnsi"/>
        </w:rPr>
      </w:pPr>
    </w:p>
    <w:p w14:paraId="7B1F215C" w14:textId="0B448AD4" w:rsidR="00580B3B" w:rsidRPr="0059069F" w:rsidRDefault="00580B3B" w:rsidP="0071606F">
      <w:pPr>
        <w:jc w:val="center"/>
        <w:rPr>
          <w:rFonts w:eastAsia="Times New Roman" w:cs="Calibri"/>
          <w:lang w:eastAsia="el-GR"/>
        </w:rPr>
      </w:pPr>
      <w:r w:rsidRPr="0059069F">
        <w:rPr>
          <w:rFonts w:eastAsia="Times New Roman" w:cs="Calibri"/>
          <w:b/>
          <w:bCs/>
          <w:lang w:eastAsia="el-GR"/>
        </w:rPr>
        <w:t>Άρθρο 8</w:t>
      </w:r>
    </w:p>
    <w:p w14:paraId="744FBB02" w14:textId="085E9DD4" w:rsidR="00580B3B" w:rsidRPr="0059069F" w:rsidRDefault="00580B3B" w:rsidP="0071606F">
      <w:pPr>
        <w:pStyle w:val="Web"/>
        <w:shd w:val="clear" w:color="auto" w:fill="FFFFFF"/>
        <w:jc w:val="both"/>
        <w:rPr>
          <w:rFonts w:asciiTheme="minorHAnsi" w:hAnsiTheme="minorHAnsi" w:cstheme="minorHAnsi"/>
        </w:rPr>
      </w:pPr>
      <w:r w:rsidRPr="0059069F">
        <w:rPr>
          <w:rFonts w:asciiTheme="minorHAnsi" w:hAnsiTheme="minorHAnsi" w:cstheme="minorHAnsi"/>
          <w:lang w:eastAsia="el-GR"/>
        </w:rPr>
        <w:t>Κατ' εξαί</w:t>
      </w:r>
      <w:r w:rsidR="0071606F" w:rsidRPr="0059069F">
        <w:rPr>
          <w:rFonts w:asciiTheme="minorHAnsi" w:hAnsiTheme="minorHAnsi" w:cstheme="minorHAnsi"/>
          <w:lang w:eastAsia="el-GR"/>
        </w:rPr>
        <w:t>ρ</w:t>
      </w:r>
      <w:r w:rsidRPr="0059069F">
        <w:rPr>
          <w:rFonts w:asciiTheme="minorHAnsi" w:hAnsiTheme="minorHAnsi" w:cstheme="minorHAnsi"/>
          <w:lang w:eastAsia="el-GR"/>
        </w:rPr>
        <w:t xml:space="preserve">εση, χορηγείται υπέρβαση της ανώτατης χρονικής διάρκειας φοίτησης του άρθρου 1, κατόπιν αίτησης προς τη Γραμματεία του Τμήματος ή της Μονοτμηματικής Σχολής,  για σοβαρούς λόγους υγείας που ανάγονται στο πρόσωπο του/της φοιτητή/τριας ή στο πρόσωπο συγγενούς πρώτου βαθμού εξ αίματος ή συζύγου ή προσώπου με το οποίο ο/η φοιτητής/τρια έχει συνάψει σύμφωνο συμβίωσης και στην απώλεια ζωής συγγενούς πρώτου βαθμού εξ αίματος ή συζύγου ή προσώπου στο οποίο ο/η φοιτητής/τρια είχε συνάψει σύμφωνο συμβίωσης. </w:t>
      </w:r>
      <w:proofErr w:type="spellStart"/>
      <w:r w:rsidR="0071606F" w:rsidRPr="0059069F">
        <w:rPr>
          <w:rFonts w:asciiTheme="minorHAnsi" w:hAnsiTheme="minorHAnsi" w:cstheme="minorHAnsi"/>
        </w:rPr>
        <w:t>Εάν</w:t>
      </w:r>
      <w:proofErr w:type="spellEnd"/>
      <w:r w:rsidR="0071606F" w:rsidRPr="0059069F">
        <w:rPr>
          <w:rFonts w:asciiTheme="minorHAnsi" w:hAnsiTheme="minorHAnsi" w:cstheme="minorHAnsi"/>
        </w:rPr>
        <w:t xml:space="preserve"> ο</w:t>
      </w:r>
      <w:r w:rsidR="008115B9" w:rsidRPr="0059069F">
        <w:rPr>
          <w:rFonts w:asciiTheme="minorHAnsi" w:hAnsiTheme="minorHAnsi" w:cstheme="minorHAnsi"/>
        </w:rPr>
        <w:t>/η</w:t>
      </w:r>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φοιτητής</w:t>
      </w:r>
      <w:proofErr w:type="spellEnd"/>
      <w:r w:rsidR="008115B9" w:rsidRPr="0059069F">
        <w:rPr>
          <w:rFonts w:asciiTheme="minorHAnsi" w:hAnsiTheme="minorHAnsi" w:cstheme="minorHAnsi"/>
        </w:rPr>
        <w:t>/</w:t>
      </w:r>
      <w:proofErr w:type="spellStart"/>
      <w:r w:rsidR="008115B9" w:rsidRPr="0059069F">
        <w:rPr>
          <w:rFonts w:asciiTheme="minorHAnsi" w:hAnsiTheme="minorHAnsi" w:cstheme="minorHAnsi"/>
        </w:rPr>
        <w:t>τρια</w:t>
      </w:r>
      <w:proofErr w:type="spellEnd"/>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έχει</w:t>
      </w:r>
      <w:proofErr w:type="spellEnd"/>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ασκήσει</w:t>
      </w:r>
      <w:proofErr w:type="spellEnd"/>
      <w:r w:rsidR="0071606F" w:rsidRPr="0059069F">
        <w:rPr>
          <w:rFonts w:asciiTheme="minorHAnsi" w:hAnsiTheme="minorHAnsi" w:cstheme="minorHAnsi"/>
        </w:rPr>
        <w:t xml:space="preserve"> το δικαίωμα </w:t>
      </w:r>
      <w:proofErr w:type="spellStart"/>
      <w:r w:rsidR="0071606F" w:rsidRPr="0059069F">
        <w:rPr>
          <w:rFonts w:asciiTheme="minorHAnsi" w:hAnsiTheme="minorHAnsi" w:cstheme="minorHAnsi"/>
        </w:rPr>
        <w:t>παράτασης</w:t>
      </w:r>
      <w:proofErr w:type="spellEnd"/>
      <w:r w:rsidR="0071606F" w:rsidRPr="0059069F">
        <w:rPr>
          <w:rFonts w:asciiTheme="minorHAnsi" w:hAnsiTheme="minorHAnsi" w:cstheme="minorHAnsi"/>
        </w:rPr>
        <w:t xml:space="preserve"> της ανώτατης διάρκειας φοίτησης, ο </w:t>
      </w:r>
      <w:proofErr w:type="spellStart"/>
      <w:r w:rsidR="0071606F" w:rsidRPr="0059069F">
        <w:rPr>
          <w:rFonts w:asciiTheme="minorHAnsi" w:hAnsiTheme="minorHAnsi" w:cstheme="minorHAnsi"/>
        </w:rPr>
        <w:t>χρόνος</w:t>
      </w:r>
      <w:proofErr w:type="spellEnd"/>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υπέρβασης</w:t>
      </w:r>
      <w:proofErr w:type="spellEnd"/>
      <w:r w:rsidR="0071606F" w:rsidRPr="0059069F">
        <w:rPr>
          <w:rFonts w:asciiTheme="minorHAnsi" w:hAnsiTheme="minorHAnsi" w:cstheme="minorHAnsi"/>
        </w:rPr>
        <w:t xml:space="preserve"> της </w:t>
      </w:r>
      <w:proofErr w:type="spellStart"/>
      <w:r w:rsidR="0071606F" w:rsidRPr="0059069F">
        <w:rPr>
          <w:rFonts w:asciiTheme="minorHAnsi" w:hAnsiTheme="minorHAnsi" w:cstheme="minorHAnsi"/>
        </w:rPr>
        <w:t>ανώτατης</w:t>
      </w:r>
      <w:proofErr w:type="spellEnd"/>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διάρκειας</w:t>
      </w:r>
      <w:proofErr w:type="spellEnd"/>
      <w:r w:rsidR="0071606F" w:rsidRPr="0059069F">
        <w:rPr>
          <w:rFonts w:asciiTheme="minorHAnsi" w:hAnsiTheme="minorHAnsi" w:cstheme="minorHAnsi"/>
        </w:rPr>
        <w:t xml:space="preserve"> φοίτησης για </w:t>
      </w:r>
      <w:proofErr w:type="spellStart"/>
      <w:r w:rsidR="0071606F" w:rsidRPr="0059069F">
        <w:rPr>
          <w:rFonts w:asciiTheme="minorHAnsi" w:hAnsiTheme="minorHAnsi" w:cstheme="minorHAnsi"/>
        </w:rPr>
        <w:t>σοβαρούς</w:t>
      </w:r>
      <w:proofErr w:type="spellEnd"/>
      <w:r w:rsidR="0071606F" w:rsidRPr="0059069F">
        <w:rPr>
          <w:rFonts w:asciiTheme="minorHAnsi" w:hAnsiTheme="minorHAnsi" w:cstheme="minorHAnsi"/>
        </w:rPr>
        <w:t xml:space="preserve"> </w:t>
      </w:r>
      <w:proofErr w:type="spellStart"/>
      <w:r w:rsidR="0071606F" w:rsidRPr="0059069F">
        <w:rPr>
          <w:rFonts w:asciiTheme="minorHAnsi" w:hAnsiTheme="minorHAnsi" w:cstheme="minorHAnsi"/>
        </w:rPr>
        <w:t>λόγους</w:t>
      </w:r>
      <w:proofErr w:type="spellEnd"/>
      <w:r w:rsidR="0071606F" w:rsidRPr="0059069F">
        <w:rPr>
          <w:rFonts w:asciiTheme="minorHAnsi" w:hAnsiTheme="minorHAnsi" w:cstheme="minorHAnsi"/>
        </w:rPr>
        <w:t xml:space="preserve"> υγείας δεν προσμετράται στον χρόνο παράτασης. </w:t>
      </w:r>
      <w:r w:rsidRPr="0059069F">
        <w:rPr>
          <w:rFonts w:asciiTheme="minorHAnsi" w:hAnsiTheme="minorHAnsi" w:cstheme="minorHAnsi"/>
          <w:lang w:eastAsia="el-GR"/>
        </w:rPr>
        <w:t>Οι διαδικαστικές λεπτομέρειες και τα δικαιολογητικά για την κατ’ εξαίρεση υπέρβαση της ανώτατης χρονικής διάρκειας φοίτησης καθορίζονται στον αντίστοιχο Κανονισμό. </w:t>
      </w:r>
    </w:p>
    <w:p w14:paraId="31C62DD8" w14:textId="77777777" w:rsidR="00580B3B" w:rsidRPr="0059069F" w:rsidRDefault="00580B3B" w:rsidP="00580B3B">
      <w:pPr>
        <w:jc w:val="both"/>
        <w:rPr>
          <w:rFonts w:cs="Calibri"/>
        </w:rPr>
      </w:pPr>
    </w:p>
    <w:p w14:paraId="1AD98386" w14:textId="309B5902" w:rsidR="00580B3B" w:rsidRPr="0059069F" w:rsidRDefault="00580B3B" w:rsidP="00580B3B">
      <w:pPr>
        <w:spacing w:after="240"/>
        <w:jc w:val="center"/>
        <w:rPr>
          <w:rFonts w:cs="Calibri"/>
          <w:b/>
          <w:bCs/>
        </w:rPr>
      </w:pPr>
      <w:r w:rsidRPr="0059069F">
        <w:rPr>
          <w:rFonts w:cs="Calibri"/>
          <w:b/>
          <w:bCs/>
        </w:rPr>
        <w:t>Άρθρο 9</w:t>
      </w:r>
    </w:p>
    <w:p w14:paraId="52B278DE" w14:textId="572342DC" w:rsidR="00921C7A" w:rsidRPr="0059069F" w:rsidRDefault="00921C7A" w:rsidP="00921C7A">
      <w:pPr>
        <w:spacing w:after="240"/>
        <w:jc w:val="both"/>
        <w:rPr>
          <w:rFonts w:cs="Calibri"/>
        </w:rPr>
      </w:pPr>
      <w:r w:rsidRPr="0059069F">
        <w:rPr>
          <w:rFonts w:cs="Calibri"/>
        </w:rPr>
        <w:t xml:space="preserve">Σύμφωνα με τις ως άνω διατάξεις και με την επιφύλαξη της εφαρμογής του μέτρου της </w:t>
      </w:r>
      <w:proofErr w:type="spellStart"/>
      <w:r w:rsidRPr="0059069F">
        <w:rPr>
          <w:rFonts w:cs="Calibri"/>
        </w:rPr>
        <w:t>κατ</w:t>
      </w:r>
      <w:proofErr w:type="spellEnd"/>
      <w:r w:rsidRPr="0059069F">
        <w:rPr>
          <w:rFonts w:cs="Calibri"/>
        </w:rPr>
        <w:t>΄ εξαίρεση υπέρβασης της ανώτατης διάρκειας φοίτησης, ισχύουν τα κάτωθι:</w:t>
      </w:r>
    </w:p>
    <w:p w14:paraId="6877D15E" w14:textId="485CFA0C" w:rsidR="003B1573" w:rsidRPr="0059069F" w:rsidRDefault="003B1573" w:rsidP="003B1573">
      <w:pPr>
        <w:pStyle w:val="a4"/>
        <w:numPr>
          <w:ilvl w:val="0"/>
          <w:numId w:val="5"/>
        </w:numPr>
        <w:spacing w:after="0" w:line="240" w:lineRule="auto"/>
        <w:contextualSpacing/>
        <w:jc w:val="both"/>
        <w:rPr>
          <w:sz w:val="24"/>
          <w:szCs w:val="24"/>
        </w:rPr>
      </w:pPr>
      <w:r w:rsidRPr="0059069F">
        <w:rPr>
          <w:sz w:val="24"/>
          <w:szCs w:val="24"/>
        </w:rPr>
        <w:t>Φοιτητές/</w:t>
      </w:r>
      <w:proofErr w:type="spellStart"/>
      <w:r w:rsidRPr="0059069F">
        <w:rPr>
          <w:sz w:val="24"/>
          <w:szCs w:val="24"/>
        </w:rPr>
        <w:t>τριες</w:t>
      </w:r>
      <w:proofErr w:type="spellEnd"/>
      <w:r w:rsidRPr="0059069F">
        <w:rPr>
          <w:sz w:val="24"/>
          <w:szCs w:val="24"/>
        </w:rPr>
        <w:t xml:space="preserve"> οι οποίοι/</w:t>
      </w:r>
      <w:proofErr w:type="spellStart"/>
      <w:r w:rsidRPr="0059069F">
        <w:rPr>
          <w:sz w:val="24"/>
          <w:szCs w:val="24"/>
        </w:rPr>
        <w:t>ες</w:t>
      </w:r>
      <w:proofErr w:type="spellEnd"/>
      <w:r w:rsidRPr="0059069F">
        <w:rPr>
          <w:sz w:val="24"/>
          <w:szCs w:val="24"/>
        </w:rPr>
        <w:t xml:space="preserve"> συμπληρώνουν την ανώτατη διάρκεια φοίτησης σύμφωνα με τις διατάξεις του παρόντος Κανονισμού, δεν καθίστανται πτυχιούχοι κατά το χρονικό διάστημα συμπλήρωσης αυτής και δεν πληρούν τις προϋποθέσεις παράτασης της ανώτατης διάρκειας  φοίτησης διαγράφονται αυτοδικαίως μετά το πέρας αυτής.</w:t>
      </w:r>
    </w:p>
    <w:p w14:paraId="3A09FFE4" w14:textId="18851B64" w:rsidR="003B1573" w:rsidRPr="0059069F" w:rsidRDefault="003B1573" w:rsidP="00580B3B">
      <w:pPr>
        <w:pStyle w:val="a4"/>
        <w:numPr>
          <w:ilvl w:val="0"/>
          <w:numId w:val="5"/>
        </w:numPr>
        <w:spacing w:after="0" w:line="240" w:lineRule="auto"/>
        <w:contextualSpacing/>
        <w:jc w:val="both"/>
        <w:rPr>
          <w:sz w:val="24"/>
          <w:szCs w:val="24"/>
        </w:rPr>
      </w:pPr>
      <w:r w:rsidRPr="0059069F">
        <w:rPr>
          <w:sz w:val="24"/>
          <w:szCs w:val="24"/>
        </w:rPr>
        <w:t>Φοιτητές/</w:t>
      </w:r>
      <w:proofErr w:type="spellStart"/>
      <w:r w:rsidRPr="0059069F">
        <w:rPr>
          <w:sz w:val="24"/>
          <w:szCs w:val="24"/>
        </w:rPr>
        <w:t>τριες</w:t>
      </w:r>
      <w:proofErr w:type="spellEnd"/>
      <w:r w:rsidRPr="0059069F">
        <w:rPr>
          <w:sz w:val="24"/>
          <w:szCs w:val="24"/>
        </w:rPr>
        <w:t xml:space="preserve"> οι οποίοι/</w:t>
      </w:r>
      <w:proofErr w:type="spellStart"/>
      <w:r w:rsidRPr="0059069F">
        <w:rPr>
          <w:sz w:val="24"/>
          <w:szCs w:val="24"/>
        </w:rPr>
        <w:t>ες</w:t>
      </w:r>
      <w:proofErr w:type="spellEnd"/>
      <w:r w:rsidRPr="0059069F">
        <w:rPr>
          <w:sz w:val="24"/>
          <w:szCs w:val="24"/>
        </w:rPr>
        <w:t xml:space="preserve"> παρατείνουν την ανώτατη διάρκεια φοίτησης κατ’ εφαρμογή των διατάξεων των Άρθρων 3 και 4 του παρόντος Κανονισμού και δεν καθίστανται πτυχιούχοι κατά το χρονικό διάστημα της παράτασης και της τυχόν διενεργηθείσας εμβόλιμης εξεταστικής διαγράφονται αυτοδικαίως μετά το πέρας της </w:t>
      </w:r>
      <w:proofErr w:type="spellStart"/>
      <w:r w:rsidRPr="0059069F">
        <w:rPr>
          <w:sz w:val="24"/>
          <w:szCs w:val="24"/>
        </w:rPr>
        <w:t>χορηγηθείσας</w:t>
      </w:r>
      <w:proofErr w:type="spellEnd"/>
      <w:r w:rsidRPr="0059069F">
        <w:rPr>
          <w:sz w:val="24"/>
          <w:szCs w:val="24"/>
        </w:rPr>
        <w:t xml:space="preserve"> παράτασης</w:t>
      </w:r>
      <w:r w:rsidR="00294D78" w:rsidRPr="0059069F">
        <w:rPr>
          <w:sz w:val="24"/>
          <w:szCs w:val="24"/>
        </w:rPr>
        <w:t>/των αποτελεσμάτων της εμβόλιμης εξεταστικής</w:t>
      </w:r>
      <w:r w:rsidRPr="0059069F">
        <w:rPr>
          <w:sz w:val="24"/>
          <w:szCs w:val="24"/>
        </w:rPr>
        <w:t>.</w:t>
      </w:r>
    </w:p>
    <w:p w14:paraId="7777726F" w14:textId="770A013A" w:rsidR="00921C7A" w:rsidRPr="0059069F" w:rsidRDefault="003B1573" w:rsidP="00921C7A">
      <w:pPr>
        <w:pStyle w:val="a4"/>
        <w:numPr>
          <w:ilvl w:val="0"/>
          <w:numId w:val="5"/>
        </w:numPr>
        <w:spacing w:after="0" w:line="240" w:lineRule="auto"/>
        <w:contextualSpacing/>
        <w:jc w:val="both"/>
        <w:rPr>
          <w:sz w:val="24"/>
          <w:szCs w:val="24"/>
        </w:rPr>
      </w:pPr>
      <w:r w:rsidRPr="0059069F">
        <w:rPr>
          <w:sz w:val="24"/>
          <w:szCs w:val="24"/>
        </w:rPr>
        <w:t>Φοιτητές/</w:t>
      </w:r>
      <w:proofErr w:type="spellStart"/>
      <w:r w:rsidRPr="0059069F">
        <w:rPr>
          <w:sz w:val="24"/>
          <w:szCs w:val="24"/>
        </w:rPr>
        <w:t>τριες</w:t>
      </w:r>
      <w:proofErr w:type="spellEnd"/>
      <w:r w:rsidRPr="0059069F">
        <w:rPr>
          <w:sz w:val="24"/>
          <w:szCs w:val="24"/>
        </w:rPr>
        <w:t>, οι οποίοι/</w:t>
      </w:r>
      <w:proofErr w:type="spellStart"/>
      <w:r w:rsidRPr="0059069F">
        <w:rPr>
          <w:sz w:val="24"/>
          <w:szCs w:val="24"/>
        </w:rPr>
        <w:t>ες</w:t>
      </w:r>
      <w:proofErr w:type="spellEnd"/>
      <w:r w:rsidRPr="0059069F">
        <w:rPr>
          <w:sz w:val="24"/>
          <w:szCs w:val="24"/>
        </w:rPr>
        <w:t xml:space="preserve"> οφείλουν ένα (1) ή περισσότερα μαθήματα και δεν έχουν συμμετάσχει σε τουλάχιστον δύο (2) ακαδημαϊκές δοκιμασίες</w:t>
      </w:r>
      <w:r w:rsidR="00590BA2" w:rsidRPr="0059069F">
        <w:rPr>
          <w:sz w:val="24"/>
          <w:szCs w:val="24"/>
        </w:rPr>
        <w:t xml:space="preserve">, </w:t>
      </w:r>
      <w:r w:rsidR="00590BA2" w:rsidRPr="0059069F">
        <w:rPr>
          <w:rFonts w:asciiTheme="minorHAnsi" w:hAnsiTheme="minorHAnsi" w:cstheme="minorHAnsi"/>
          <w:sz w:val="24"/>
          <w:szCs w:val="24"/>
        </w:rPr>
        <w:t xml:space="preserve">εκ των οποίων στη μία επιτυχώς, </w:t>
      </w:r>
      <w:r w:rsidRPr="0059069F">
        <w:rPr>
          <w:sz w:val="24"/>
          <w:szCs w:val="24"/>
        </w:rPr>
        <w:t>σε κανένα από τα τελευταία τέσσερα (4) ακαδημαϊκά εξάμηνα πριν την υποβολή της αίτησης, δεν δικαιούνται να ασκήσουν το δικαίωμα της παράτασης και διαγράφονται αυτοδικαίως.</w:t>
      </w:r>
    </w:p>
    <w:p w14:paraId="55DDFC83" w14:textId="77777777" w:rsidR="00921C7A" w:rsidRPr="0059069F" w:rsidRDefault="00921C7A" w:rsidP="00921C7A">
      <w:pPr>
        <w:spacing w:line="240" w:lineRule="auto"/>
        <w:contextualSpacing/>
        <w:jc w:val="both"/>
      </w:pPr>
    </w:p>
    <w:p w14:paraId="5813BBA8" w14:textId="2A706E13" w:rsidR="00921C7A" w:rsidRPr="0059069F" w:rsidRDefault="00580B3B" w:rsidP="00921C7A">
      <w:pPr>
        <w:pStyle w:val="Web"/>
        <w:shd w:val="clear" w:color="auto" w:fill="FFFFFF"/>
        <w:jc w:val="both"/>
        <w:rPr>
          <w:rFonts w:asciiTheme="minorHAnsi" w:hAnsiTheme="minorHAnsi" w:cstheme="minorHAnsi"/>
        </w:rPr>
      </w:pPr>
      <w:r w:rsidRPr="0059069F">
        <w:rPr>
          <w:rFonts w:asciiTheme="minorHAnsi" w:hAnsiTheme="minorHAnsi" w:cstheme="minorHAnsi"/>
        </w:rPr>
        <w:lastRenderedPageBreak/>
        <w:t xml:space="preserve">Ο/Η Προϊστάμενος/ένη της Γραμματείας του Τμήματος ή της Μονοτμηματικής Σχολής </w:t>
      </w:r>
      <w:r w:rsidR="00921C7A" w:rsidRPr="0059069F">
        <w:rPr>
          <w:rFonts w:asciiTheme="minorHAnsi" w:hAnsiTheme="minorHAnsi" w:cstheme="minorHAnsi"/>
        </w:rPr>
        <w:t xml:space="preserve">μετά την έκδοση του συνόλου των αποτελεσμάτων της επαναληπτικής εξεταστικής περιόδου του Σεπτεμβρίου ελέγχει ετησίως το μητρώο φοιτητών του Τμήματος ή της </w:t>
      </w:r>
      <w:proofErr w:type="spellStart"/>
      <w:r w:rsidR="00921C7A" w:rsidRPr="0059069F">
        <w:rPr>
          <w:rFonts w:asciiTheme="minorHAnsi" w:hAnsiTheme="minorHAnsi" w:cstheme="minorHAnsi"/>
        </w:rPr>
        <w:t>Μονοτμηματικής</w:t>
      </w:r>
      <w:proofErr w:type="spellEnd"/>
      <w:r w:rsidR="00921C7A" w:rsidRPr="0059069F">
        <w:rPr>
          <w:rFonts w:asciiTheme="minorHAnsi" w:hAnsiTheme="minorHAnsi" w:cstheme="minorHAnsi"/>
        </w:rPr>
        <w:t xml:space="preserve"> </w:t>
      </w:r>
      <w:proofErr w:type="spellStart"/>
      <w:r w:rsidR="00921C7A" w:rsidRPr="0059069F">
        <w:rPr>
          <w:rFonts w:asciiTheme="minorHAnsi" w:hAnsiTheme="minorHAnsi" w:cstheme="minorHAnsi"/>
        </w:rPr>
        <w:t>Σχολής</w:t>
      </w:r>
      <w:proofErr w:type="spellEnd"/>
      <w:r w:rsidR="00921C7A" w:rsidRPr="0059069F">
        <w:rPr>
          <w:rFonts w:asciiTheme="minorHAnsi" w:hAnsiTheme="minorHAnsi" w:cstheme="minorHAnsi"/>
        </w:rPr>
        <w:t xml:space="preserve"> </w:t>
      </w:r>
      <w:proofErr w:type="spellStart"/>
      <w:r w:rsidR="00921C7A" w:rsidRPr="0059069F">
        <w:rPr>
          <w:rFonts w:asciiTheme="minorHAnsi" w:hAnsiTheme="minorHAnsi" w:cstheme="minorHAnsi"/>
        </w:rPr>
        <w:t>προκειμένου</w:t>
      </w:r>
      <w:proofErr w:type="spellEnd"/>
      <w:r w:rsidR="00921C7A" w:rsidRPr="0059069F">
        <w:rPr>
          <w:rFonts w:asciiTheme="minorHAnsi" w:hAnsiTheme="minorHAnsi" w:cstheme="minorHAnsi"/>
        </w:rPr>
        <w:t xml:space="preserve"> να </w:t>
      </w:r>
      <w:proofErr w:type="spellStart"/>
      <w:r w:rsidR="00921C7A" w:rsidRPr="0059069F">
        <w:rPr>
          <w:rFonts w:asciiTheme="minorHAnsi" w:hAnsiTheme="minorHAnsi" w:cstheme="minorHAnsi"/>
        </w:rPr>
        <w:t>διαπιστώσει</w:t>
      </w:r>
      <w:proofErr w:type="spellEnd"/>
      <w:r w:rsidR="00921C7A" w:rsidRPr="0059069F">
        <w:rPr>
          <w:rFonts w:asciiTheme="minorHAnsi" w:hAnsiTheme="minorHAnsi" w:cstheme="minorHAnsi"/>
        </w:rPr>
        <w:t xml:space="preserve"> ποιοι/</w:t>
      </w:r>
      <w:proofErr w:type="spellStart"/>
      <w:r w:rsidR="00921C7A" w:rsidRPr="0059069F">
        <w:rPr>
          <w:rFonts w:asciiTheme="minorHAnsi" w:hAnsiTheme="minorHAnsi" w:cstheme="minorHAnsi"/>
        </w:rPr>
        <w:t>ες</w:t>
      </w:r>
      <w:proofErr w:type="spellEnd"/>
      <w:r w:rsidR="00921C7A" w:rsidRPr="0059069F">
        <w:rPr>
          <w:rFonts w:asciiTheme="minorHAnsi" w:hAnsiTheme="minorHAnsi" w:cstheme="minorHAnsi"/>
        </w:rPr>
        <w:t xml:space="preserve"> </w:t>
      </w:r>
      <w:proofErr w:type="spellStart"/>
      <w:r w:rsidR="00921C7A" w:rsidRPr="0059069F">
        <w:rPr>
          <w:rFonts w:asciiTheme="minorHAnsi" w:hAnsiTheme="minorHAnsi" w:cstheme="minorHAnsi"/>
        </w:rPr>
        <w:t>φοιτητές</w:t>
      </w:r>
      <w:proofErr w:type="spellEnd"/>
      <w:r w:rsidR="00921C7A" w:rsidRPr="0059069F">
        <w:rPr>
          <w:rFonts w:asciiTheme="minorHAnsi" w:hAnsiTheme="minorHAnsi" w:cstheme="minorHAnsi"/>
        </w:rPr>
        <w:t>/</w:t>
      </w:r>
      <w:proofErr w:type="spellStart"/>
      <w:r w:rsidR="00921C7A" w:rsidRPr="0059069F">
        <w:rPr>
          <w:rFonts w:asciiTheme="minorHAnsi" w:hAnsiTheme="minorHAnsi" w:cstheme="minorHAnsi"/>
        </w:rPr>
        <w:t>τριες</w:t>
      </w:r>
      <w:proofErr w:type="spellEnd"/>
      <w:r w:rsidR="00921C7A" w:rsidRPr="0059069F">
        <w:rPr>
          <w:rFonts w:asciiTheme="minorHAnsi" w:hAnsiTheme="minorHAnsi" w:cstheme="minorHAnsi"/>
        </w:rPr>
        <w:t xml:space="preserve"> </w:t>
      </w:r>
      <w:proofErr w:type="spellStart"/>
      <w:r w:rsidR="00921C7A" w:rsidRPr="0059069F">
        <w:rPr>
          <w:rFonts w:asciiTheme="minorHAnsi" w:hAnsiTheme="minorHAnsi" w:cstheme="minorHAnsi"/>
        </w:rPr>
        <w:t>συμπληρώνουν</w:t>
      </w:r>
      <w:proofErr w:type="spellEnd"/>
      <w:r w:rsidR="00921C7A" w:rsidRPr="0059069F">
        <w:rPr>
          <w:rFonts w:asciiTheme="minorHAnsi" w:hAnsiTheme="minorHAnsi" w:cstheme="minorHAnsi"/>
        </w:rPr>
        <w:t xml:space="preserve"> την </w:t>
      </w:r>
      <w:proofErr w:type="spellStart"/>
      <w:r w:rsidR="00921C7A" w:rsidRPr="0059069F">
        <w:rPr>
          <w:rFonts w:asciiTheme="minorHAnsi" w:hAnsiTheme="minorHAnsi" w:cstheme="minorHAnsi"/>
        </w:rPr>
        <w:t>ανώτατη</w:t>
      </w:r>
      <w:proofErr w:type="spellEnd"/>
      <w:r w:rsidR="00921C7A" w:rsidRPr="0059069F">
        <w:rPr>
          <w:rFonts w:asciiTheme="minorHAnsi" w:hAnsiTheme="minorHAnsi" w:cstheme="minorHAnsi"/>
        </w:rPr>
        <w:t xml:space="preserve"> διάρκεια φοίτησης και συντάσσει προσωρινό κατάλογο των φοιτητών που διαγράφονται αυτοδικαίως λόγω υπέρβασης της ανώτατης διάρκειας φοίτησης.</w:t>
      </w:r>
    </w:p>
    <w:p w14:paraId="787D1343" w14:textId="1403CCEF" w:rsidR="00921C7A" w:rsidRPr="0059069F" w:rsidRDefault="00921C7A" w:rsidP="00921C7A">
      <w:pPr>
        <w:pStyle w:val="Web"/>
        <w:shd w:val="clear" w:color="auto" w:fill="FFFFFF"/>
        <w:jc w:val="both"/>
        <w:rPr>
          <w:rFonts w:asciiTheme="minorHAnsi" w:hAnsiTheme="minorHAnsi" w:cstheme="minorHAnsi"/>
        </w:rPr>
      </w:pPr>
      <w:r w:rsidRPr="0059069F">
        <w:rPr>
          <w:rFonts w:asciiTheme="minorHAnsi" w:hAnsiTheme="minorHAnsi" w:cstheme="minorHAnsi"/>
        </w:rPr>
        <w:t xml:space="preserve">Μετά την ολοκλήρωση της διαδικασίας αξιολόγησης και έκδοσης αποφάσεων επί των αιτήσεων παράτασης της ανώτατης διάρκειας φοίτησης, των αιτήσεων διενέργειας εμβόλιμης εξεταστικής και των αιτήσεων εξαίρεσης από τη διαγραφή λόγω πιστοποιημένης αναπηρίας ποσοστού τουλάχιστον πενήντα (50%) ή αντίστοιχης σοβαρής πάθησης, ο/η Προϊστάμενος/ένη της Γραμματείας του Τμήματος ή της Μονοτμηματικής Σχολής </w:t>
      </w:r>
      <w:r w:rsidR="00580B3B" w:rsidRPr="0059069F">
        <w:rPr>
          <w:rFonts w:asciiTheme="minorHAnsi" w:hAnsiTheme="minorHAnsi" w:cstheme="minorHAnsi"/>
        </w:rPr>
        <w:t>καταρτίζει ετησίως</w:t>
      </w:r>
      <w:r w:rsidRPr="0059069F">
        <w:rPr>
          <w:rFonts w:asciiTheme="minorHAnsi" w:hAnsiTheme="minorHAnsi" w:cstheme="minorHAnsi"/>
        </w:rPr>
        <w:t xml:space="preserve"> οριστικό κατάλογο</w:t>
      </w:r>
      <w:r w:rsidR="00580B3B" w:rsidRPr="0059069F">
        <w:rPr>
          <w:rFonts w:asciiTheme="minorHAnsi" w:hAnsiTheme="minorHAnsi" w:cstheme="minorHAnsi"/>
        </w:rPr>
        <w:t>, ο οποίος περιλαμβάνει το σύνολο των φοιτητών/τριών που διαγράφονται αυτοδικαίως λόγω υπέρβασης της ανώτατης χρονικής διάρκειας φοίτησης</w:t>
      </w:r>
      <w:r w:rsidRPr="0059069F">
        <w:rPr>
          <w:rFonts w:asciiTheme="minorHAnsi" w:hAnsiTheme="minorHAnsi" w:cstheme="minorHAnsi"/>
        </w:rPr>
        <w:t>.</w:t>
      </w:r>
    </w:p>
    <w:p w14:paraId="3D43DB05" w14:textId="568394AE" w:rsidR="00580B3B" w:rsidRPr="0059069F" w:rsidRDefault="00580B3B" w:rsidP="00921C7A">
      <w:pPr>
        <w:spacing w:line="240" w:lineRule="auto"/>
        <w:contextualSpacing/>
        <w:jc w:val="both"/>
        <w:rPr>
          <w:rFonts w:asciiTheme="minorHAnsi" w:hAnsiTheme="minorHAnsi" w:cstheme="minorHAnsi"/>
        </w:rPr>
      </w:pPr>
      <w:r w:rsidRPr="0059069F">
        <w:rPr>
          <w:rFonts w:asciiTheme="minorHAnsi" w:hAnsiTheme="minorHAnsi" w:cstheme="minorHAnsi"/>
        </w:rPr>
        <w:t xml:space="preserve">Ο κατάλογος επέχει θέση διαπιστωτικής πράξης διαγραφής, </w:t>
      </w:r>
      <w:r w:rsidR="003B1573" w:rsidRPr="0059069F">
        <w:rPr>
          <w:rFonts w:asciiTheme="minorHAnsi" w:hAnsiTheme="minorHAnsi" w:cstheme="minorHAnsi"/>
        </w:rPr>
        <w:t>περιλαμβάνει κατ’ ελάχιστον αριθμό μητρώου, Τμήμα/</w:t>
      </w:r>
      <w:proofErr w:type="spellStart"/>
      <w:r w:rsidR="003B1573" w:rsidRPr="0059069F">
        <w:rPr>
          <w:rFonts w:asciiTheme="minorHAnsi" w:hAnsiTheme="minorHAnsi" w:cstheme="minorHAnsi"/>
        </w:rPr>
        <w:t>Μονοτμηματική</w:t>
      </w:r>
      <w:proofErr w:type="spellEnd"/>
      <w:r w:rsidR="003B1573" w:rsidRPr="0059069F">
        <w:rPr>
          <w:rFonts w:asciiTheme="minorHAnsi" w:hAnsiTheme="minorHAnsi" w:cstheme="minorHAnsi"/>
        </w:rPr>
        <w:t xml:space="preserve"> Σχολή, έτος εγγραφής/εισαγωγής και αιτία διαγραφής, </w:t>
      </w:r>
      <w:r w:rsidRPr="0059069F">
        <w:rPr>
          <w:rFonts w:asciiTheme="minorHAnsi" w:hAnsiTheme="minorHAnsi" w:cstheme="minorHAnsi"/>
        </w:rPr>
        <w:t xml:space="preserve">αναρτάται </w:t>
      </w:r>
      <w:proofErr w:type="spellStart"/>
      <w:r w:rsidRPr="0059069F">
        <w:rPr>
          <w:rFonts w:asciiTheme="minorHAnsi" w:hAnsiTheme="minorHAnsi" w:cstheme="minorHAnsi"/>
        </w:rPr>
        <w:t>ανωνυμοποιημένα</w:t>
      </w:r>
      <w:proofErr w:type="spellEnd"/>
      <w:r w:rsidRPr="0059069F">
        <w:rPr>
          <w:rFonts w:asciiTheme="minorHAnsi" w:hAnsiTheme="minorHAnsi" w:cstheme="minorHAnsi"/>
        </w:rPr>
        <w:t xml:space="preserve"> στην ιστοσελίδα του Τμήματος και αποστέλλεται στη Γενική Διεύθυνση Ανώτατης Εκπαίδευσης του Υπουργείου Παιδείας, Θρησκευμάτων και Αθλητισμού έως 31 Δεκεμβρίου κάθε έτους. </w:t>
      </w:r>
    </w:p>
    <w:p w14:paraId="06D57386" w14:textId="4437FCDF" w:rsidR="00921C7A" w:rsidRPr="0059069F" w:rsidRDefault="00921C7A" w:rsidP="00921C7A">
      <w:pPr>
        <w:pStyle w:val="Web"/>
        <w:shd w:val="clear" w:color="auto" w:fill="FFFFFF"/>
        <w:jc w:val="both"/>
        <w:rPr>
          <w:rFonts w:asciiTheme="minorHAnsi" w:hAnsiTheme="minorHAnsi" w:cstheme="minorHAnsi"/>
        </w:rPr>
      </w:pPr>
      <w:r w:rsidRPr="0059069F">
        <w:rPr>
          <w:rFonts w:asciiTheme="minorHAnsi" w:hAnsiTheme="minorHAnsi" w:cstheme="minorHAnsi"/>
        </w:rPr>
        <w:t xml:space="preserve">Μετά την έκδοση του οριστικού καταλόγου, με επιμέλεια της Γραμματείας του Τμήματος ή της Μονοτμηματικής Σχολής αποστέλλεται προσωποποιημένη ενημέρωση στην ακαδημαϊκή διεύθυνση ηλεκτρονικού ταχυδρομείου των φοιτητών που περιλαμβάνονται στον κατάλογο ότι διαγράφονται αυτοδικαίως λόγω υπέρβασης της ανώτατης διάρκειας φοίτησης σύμφωνα με το άρθρο 76 του ν. 4957/2022 και τις διατάξεις του παρόντος Κανονισμού. </w:t>
      </w:r>
      <w:proofErr w:type="spellStart"/>
      <w:r w:rsidRPr="0059069F">
        <w:rPr>
          <w:rFonts w:asciiTheme="minorHAnsi" w:hAnsiTheme="minorHAnsi" w:cstheme="minorHAnsi"/>
        </w:rPr>
        <w:t>Κάθε</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φοιτητής</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έχει</w:t>
      </w:r>
      <w:proofErr w:type="spellEnd"/>
      <w:r w:rsidRPr="0059069F">
        <w:rPr>
          <w:rFonts w:asciiTheme="minorHAnsi" w:hAnsiTheme="minorHAnsi" w:cstheme="minorHAnsi"/>
        </w:rPr>
        <w:t xml:space="preserve"> δικαίωμα </w:t>
      </w:r>
      <w:proofErr w:type="spellStart"/>
      <w:r w:rsidRPr="0059069F">
        <w:rPr>
          <w:rFonts w:asciiTheme="minorHAnsi" w:hAnsiTheme="minorHAnsi" w:cstheme="minorHAnsi"/>
        </w:rPr>
        <w:t>άσκησης</w:t>
      </w:r>
      <w:proofErr w:type="spellEnd"/>
      <w:r w:rsidRPr="0059069F">
        <w:rPr>
          <w:rFonts w:asciiTheme="minorHAnsi" w:hAnsiTheme="minorHAnsi" w:cstheme="minorHAnsi"/>
        </w:rPr>
        <w:t xml:space="preserve"> αίτησης θεραπείας </w:t>
      </w:r>
      <w:proofErr w:type="spellStart"/>
      <w:r w:rsidRPr="0059069F">
        <w:rPr>
          <w:rFonts w:asciiTheme="minorHAnsi" w:hAnsiTheme="minorHAnsi" w:cstheme="minorHAnsi"/>
        </w:rPr>
        <w:t>ενώπιον</w:t>
      </w:r>
      <w:proofErr w:type="spellEnd"/>
      <w:r w:rsidRPr="0059069F">
        <w:rPr>
          <w:rFonts w:asciiTheme="minorHAnsi" w:hAnsiTheme="minorHAnsi" w:cstheme="minorHAnsi"/>
        </w:rPr>
        <w:t xml:space="preserve"> της Γραμματείας του </w:t>
      </w:r>
      <w:proofErr w:type="spellStart"/>
      <w:r w:rsidRPr="0059069F">
        <w:rPr>
          <w:rFonts w:asciiTheme="minorHAnsi" w:hAnsiTheme="minorHAnsi" w:cstheme="minorHAnsi"/>
        </w:rPr>
        <w:t>Τμήματος</w:t>
      </w:r>
      <w:proofErr w:type="spellEnd"/>
      <w:r w:rsidRPr="0059069F">
        <w:rPr>
          <w:rFonts w:asciiTheme="minorHAnsi" w:hAnsiTheme="minorHAnsi" w:cstheme="minorHAnsi"/>
        </w:rPr>
        <w:t xml:space="preserve"> ή της </w:t>
      </w:r>
      <w:proofErr w:type="spellStart"/>
      <w:r w:rsidRPr="0059069F">
        <w:rPr>
          <w:rFonts w:asciiTheme="minorHAnsi" w:hAnsiTheme="minorHAnsi" w:cstheme="minorHAnsi"/>
        </w:rPr>
        <w:t>Μονοτμηματικής</w:t>
      </w:r>
      <w:proofErr w:type="spellEnd"/>
      <w:r w:rsidRPr="0059069F">
        <w:rPr>
          <w:rFonts w:asciiTheme="minorHAnsi" w:hAnsiTheme="minorHAnsi" w:cstheme="minorHAnsi"/>
        </w:rPr>
        <w:t xml:space="preserve"> Σχολής εντός αποκλειστικής προθεσμίαας δέκα (10) ημερολογιακών ημερών από την αποστολή της προσωποποιημένης ενημέρωσης αποκλειστικά για λόγους που άπτονται της μη συνδρομής των προϋποθέσεων διαγραφής στο πρόσωπό του/της. </w:t>
      </w:r>
      <w:proofErr w:type="spellStart"/>
      <w:r w:rsidRPr="0059069F">
        <w:rPr>
          <w:rFonts w:asciiTheme="minorHAnsi" w:hAnsiTheme="minorHAnsi" w:cstheme="minorHAnsi"/>
        </w:rPr>
        <w:t>Εάν</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κάποιος</w:t>
      </w:r>
      <w:proofErr w:type="spellEnd"/>
      <w:r w:rsidRPr="0059069F">
        <w:rPr>
          <w:rFonts w:asciiTheme="minorHAnsi" w:hAnsiTheme="minorHAnsi" w:cstheme="minorHAnsi"/>
        </w:rPr>
        <w:t xml:space="preserve">/α </w:t>
      </w:r>
      <w:proofErr w:type="spellStart"/>
      <w:r w:rsidRPr="0059069F">
        <w:rPr>
          <w:rFonts w:asciiTheme="minorHAnsi" w:hAnsiTheme="minorHAnsi" w:cstheme="minorHAnsi"/>
        </w:rPr>
        <w:t>φοιτητής</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δεν </w:t>
      </w:r>
      <w:proofErr w:type="spellStart"/>
      <w:r w:rsidRPr="0059069F">
        <w:rPr>
          <w:rFonts w:asciiTheme="minorHAnsi" w:hAnsiTheme="minorHAnsi" w:cstheme="minorHAnsi"/>
        </w:rPr>
        <w:t>διαθέτει</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ακαδημαϊκη</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διεύθυνση</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ηλεκτρονικου</w:t>
      </w:r>
      <w:proofErr w:type="spellEnd"/>
      <w:r w:rsidRPr="0059069F">
        <w:rPr>
          <w:rFonts w:asciiTheme="minorHAnsi" w:hAnsiTheme="minorHAnsi" w:cstheme="minorHAnsi"/>
        </w:rPr>
        <w:t xml:space="preserve">́ ταχυδρομείου, η Γραμματεία του Τμήματος ή της Μονοτμηματικής Σχολής αποστέλλει την προσωποποιημένη ενημέρωση στην προσωπική ηλεκτρονική διεύθυνση του/της, </w:t>
      </w:r>
      <w:proofErr w:type="spellStart"/>
      <w:r w:rsidRPr="0059069F">
        <w:rPr>
          <w:rFonts w:asciiTheme="minorHAnsi" w:hAnsiTheme="minorHAnsi" w:cstheme="minorHAnsi"/>
        </w:rPr>
        <w:t>εάν</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έχει</w:t>
      </w:r>
      <w:proofErr w:type="spellEnd"/>
      <w:r w:rsidRPr="0059069F">
        <w:rPr>
          <w:rFonts w:asciiTheme="minorHAnsi" w:hAnsiTheme="minorHAnsi" w:cstheme="minorHAnsi"/>
        </w:rPr>
        <w:t xml:space="preserve"> δηλωθεί </w:t>
      </w:r>
      <w:proofErr w:type="spellStart"/>
      <w:r w:rsidRPr="0059069F">
        <w:rPr>
          <w:rFonts w:asciiTheme="minorHAnsi" w:hAnsiTheme="minorHAnsi" w:cstheme="minorHAnsi"/>
        </w:rPr>
        <w:t>τέτοια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απο</w:t>
      </w:r>
      <w:proofErr w:type="spellEnd"/>
      <w:r w:rsidRPr="0059069F">
        <w:rPr>
          <w:rFonts w:asciiTheme="minorHAnsi" w:hAnsiTheme="minorHAnsi" w:cstheme="minorHAnsi"/>
        </w:rPr>
        <w:t xml:space="preserve">́ τον/την </w:t>
      </w:r>
      <w:proofErr w:type="spellStart"/>
      <w:r w:rsidRPr="0059069F">
        <w:rPr>
          <w:rFonts w:asciiTheme="minorHAnsi" w:hAnsiTheme="minorHAnsi" w:cstheme="minorHAnsi"/>
        </w:rPr>
        <w:t>φοιτητη</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άλλως</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αποστέλλει</w:t>
      </w:r>
      <w:proofErr w:type="spellEnd"/>
      <w:r w:rsidRPr="0059069F">
        <w:rPr>
          <w:rFonts w:asciiTheme="minorHAnsi" w:hAnsiTheme="minorHAnsi" w:cstheme="minorHAnsi"/>
        </w:rPr>
        <w:t xml:space="preserve"> την </w:t>
      </w:r>
      <w:proofErr w:type="spellStart"/>
      <w:r w:rsidRPr="0059069F">
        <w:rPr>
          <w:rFonts w:asciiTheme="minorHAnsi" w:hAnsiTheme="minorHAnsi" w:cstheme="minorHAnsi"/>
        </w:rPr>
        <w:t>προσωποποιημένη</w:t>
      </w:r>
      <w:proofErr w:type="spellEnd"/>
      <w:r w:rsidRPr="0059069F">
        <w:rPr>
          <w:rFonts w:asciiTheme="minorHAnsi" w:hAnsiTheme="minorHAnsi" w:cstheme="minorHAnsi"/>
        </w:rPr>
        <w:t xml:space="preserve"> ενημέρωση στην ταχυδρομική διεύθυνση που </w:t>
      </w:r>
      <w:proofErr w:type="spellStart"/>
      <w:r w:rsidRPr="0059069F">
        <w:rPr>
          <w:rFonts w:asciiTheme="minorHAnsi" w:hAnsiTheme="minorHAnsi" w:cstheme="minorHAnsi"/>
        </w:rPr>
        <w:t>έχει</w:t>
      </w:r>
      <w:proofErr w:type="spellEnd"/>
      <w:r w:rsidRPr="0059069F">
        <w:rPr>
          <w:rFonts w:asciiTheme="minorHAnsi" w:hAnsiTheme="minorHAnsi" w:cstheme="minorHAnsi"/>
        </w:rPr>
        <w:t xml:space="preserve"> δηλωθεί </w:t>
      </w:r>
      <w:proofErr w:type="spellStart"/>
      <w:r w:rsidRPr="0059069F">
        <w:rPr>
          <w:rFonts w:asciiTheme="minorHAnsi" w:hAnsiTheme="minorHAnsi" w:cstheme="minorHAnsi"/>
        </w:rPr>
        <w:t>απο</w:t>
      </w:r>
      <w:proofErr w:type="spellEnd"/>
      <w:r w:rsidRPr="0059069F">
        <w:rPr>
          <w:rFonts w:asciiTheme="minorHAnsi" w:hAnsiTheme="minorHAnsi" w:cstheme="minorHAnsi"/>
        </w:rPr>
        <w:t xml:space="preserve">́ τον/την </w:t>
      </w:r>
      <w:proofErr w:type="spellStart"/>
      <w:r w:rsidRPr="0059069F">
        <w:rPr>
          <w:rFonts w:asciiTheme="minorHAnsi" w:hAnsiTheme="minorHAnsi" w:cstheme="minorHAnsi"/>
        </w:rPr>
        <w:t>φοιτητη</w:t>
      </w:r>
      <w:proofErr w:type="spellEnd"/>
      <w:r w:rsidRPr="0059069F">
        <w:rPr>
          <w:rFonts w:asciiTheme="minorHAnsi" w:hAnsiTheme="minorHAnsi" w:cstheme="minorHAnsi"/>
        </w:rPr>
        <w:t>́/</w:t>
      </w:r>
      <w:proofErr w:type="spellStart"/>
      <w:r w:rsidRPr="0059069F">
        <w:rPr>
          <w:rFonts w:asciiTheme="minorHAnsi" w:hAnsiTheme="minorHAnsi" w:cstheme="minorHAnsi"/>
        </w:rPr>
        <w:t>τρια</w:t>
      </w:r>
      <w:proofErr w:type="spellEnd"/>
      <w:r w:rsidRPr="0059069F">
        <w:rPr>
          <w:rFonts w:asciiTheme="minorHAnsi" w:hAnsiTheme="minorHAnsi" w:cstheme="minorHAnsi"/>
        </w:rPr>
        <w:t xml:space="preserve"> </w:t>
      </w:r>
      <w:proofErr w:type="spellStart"/>
      <w:r w:rsidRPr="0059069F">
        <w:rPr>
          <w:rFonts w:asciiTheme="minorHAnsi" w:hAnsiTheme="minorHAnsi" w:cstheme="minorHAnsi"/>
        </w:rPr>
        <w:t>κατα</w:t>
      </w:r>
      <w:proofErr w:type="spellEnd"/>
      <w:r w:rsidRPr="0059069F">
        <w:rPr>
          <w:rFonts w:asciiTheme="minorHAnsi" w:hAnsiTheme="minorHAnsi" w:cstheme="minorHAnsi"/>
        </w:rPr>
        <w:t xml:space="preserve">́ την </w:t>
      </w:r>
      <w:proofErr w:type="spellStart"/>
      <w:r w:rsidRPr="0059069F">
        <w:rPr>
          <w:rFonts w:asciiTheme="minorHAnsi" w:hAnsiTheme="minorHAnsi" w:cstheme="minorHAnsi"/>
        </w:rPr>
        <w:t>εγγραφη</w:t>
      </w:r>
      <w:proofErr w:type="spellEnd"/>
      <w:r w:rsidRPr="0059069F">
        <w:rPr>
          <w:rFonts w:asciiTheme="minorHAnsi" w:hAnsiTheme="minorHAnsi" w:cstheme="minorHAnsi"/>
        </w:rPr>
        <w:t>́ του/της ή τελευταία επικαιροποίηση των στοιχείων του/της.</w:t>
      </w:r>
    </w:p>
    <w:p w14:paraId="45BD9094" w14:textId="4EBDC2C7" w:rsidR="00921C7A" w:rsidRPr="0059069F" w:rsidRDefault="00921C7A" w:rsidP="00921C7A">
      <w:pPr>
        <w:pStyle w:val="Web"/>
        <w:shd w:val="clear" w:color="auto" w:fill="FFFFFF"/>
        <w:jc w:val="both"/>
        <w:rPr>
          <w:rFonts w:asciiTheme="minorHAnsi" w:hAnsiTheme="minorHAnsi" w:cstheme="minorHAnsi"/>
        </w:rPr>
      </w:pPr>
      <w:r w:rsidRPr="0059069F">
        <w:rPr>
          <w:rFonts w:asciiTheme="minorHAnsi" w:hAnsiTheme="minorHAnsi" w:cstheme="minorHAnsi"/>
        </w:rPr>
        <w:t>Οι αιτήσεις θεραπείας αξιολογούνται εντός αποκλειστικής προθεσμίας εξήντα (60) ημερολογιακών ημερών από την υποβολή τους και εκδίδεται απόφαση της Συνέλευσης του Τμήματος ή της Μονοτμηματικής Σχολής επί αυτών. Εάν παρέλθει άπρακτη η προθεσμία του προηγούμενου εδαφίου, η αίτηση θεραπείας θεωρείται απορριφθείσα. Μετά την αξιολόγηση των αιτήσεων θεραπείας, εάν προκύψουν μεταβολές στον οριστικό κατάλογο της παρ. 3, καταρτίζεται επικαιροποιημένος κατάλογος, ο οποίος αναρτάται ανωνυμοποιημένα στην ιστοσελίδα του Τμήματος και αποστέλλεται εκ νέου στη Γενική Διεύθυνση Ανώτατης Εκπαίδευσης του Υπουργείου Παιδείας, Θρησκευμάτων και Αθλητισμού το αργότερο έως την 30ή Απριλίου του επόμενου έτους.</w:t>
      </w:r>
    </w:p>
    <w:p w14:paraId="5088BF23" w14:textId="77777777" w:rsidR="00921C7A" w:rsidRPr="0059069F" w:rsidRDefault="00921C7A" w:rsidP="00921C7A">
      <w:pPr>
        <w:spacing w:line="240" w:lineRule="auto"/>
        <w:contextualSpacing/>
        <w:jc w:val="both"/>
        <w:rPr>
          <w:rFonts w:asciiTheme="minorHAnsi" w:hAnsiTheme="minorHAnsi" w:cstheme="minorHAnsi"/>
        </w:rPr>
      </w:pPr>
    </w:p>
    <w:p w14:paraId="7142ECF7" w14:textId="77777777" w:rsidR="00921C7A" w:rsidRPr="0059069F" w:rsidRDefault="00921C7A" w:rsidP="00921C7A">
      <w:pPr>
        <w:spacing w:line="240" w:lineRule="auto"/>
        <w:contextualSpacing/>
        <w:jc w:val="both"/>
        <w:rPr>
          <w:rFonts w:asciiTheme="minorHAnsi" w:hAnsiTheme="minorHAnsi" w:cstheme="minorHAnsi"/>
        </w:rPr>
      </w:pPr>
    </w:p>
    <w:p w14:paraId="6F3624D5" w14:textId="008E5C45" w:rsidR="00580B3B" w:rsidRPr="0059069F" w:rsidRDefault="00580B3B" w:rsidP="00921C7A">
      <w:pPr>
        <w:spacing w:line="240" w:lineRule="auto"/>
        <w:contextualSpacing/>
        <w:jc w:val="both"/>
      </w:pPr>
      <w:r w:rsidRPr="0059069F">
        <w:t xml:space="preserve">Ο/Η Πρόεδρος του Τμήματος ή ο/η Κοσμήτορας της </w:t>
      </w:r>
      <w:proofErr w:type="spellStart"/>
      <w:r w:rsidRPr="0059069F">
        <w:t>Μονοτμηματικής</w:t>
      </w:r>
      <w:proofErr w:type="spellEnd"/>
      <w:r w:rsidRPr="0059069F">
        <w:t xml:space="preserve"> Σχολής είναι αρμόδιος/α για την εφαρμογή των διατάξεων </w:t>
      </w:r>
      <w:r w:rsidR="00921C7A" w:rsidRPr="0059069F">
        <w:t xml:space="preserve">της </w:t>
      </w:r>
      <w:r w:rsidRPr="0059069F">
        <w:t>παράτασης της ανώτατης διάρκειας φοίτησης</w:t>
      </w:r>
      <w:r w:rsidR="00921C7A" w:rsidRPr="0059069F">
        <w:t xml:space="preserve">, </w:t>
      </w:r>
      <w:r w:rsidRPr="0059069F">
        <w:t>της κατ’ εξαίρεση υπέρβασης της ανώτατης διάρκειας φοίτησης και της σύνταξης του ετήσιου καταλόγου των υπό διαγραφή φοιτητών</w:t>
      </w:r>
      <w:r w:rsidR="00921C7A" w:rsidRPr="0059069F">
        <w:t>/τριών. Ο/Η</w:t>
      </w:r>
      <w:r w:rsidRPr="0059069F">
        <w:t xml:space="preserve"> Κοσμήτορας της Σχολής, στην οποία υπάγεται το Τμήμα</w:t>
      </w:r>
      <w:r w:rsidR="003B1573" w:rsidRPr="0059069F">
        <w:t>,</w:t>
      </w:r>
      <w:r w:rsidRPr="0059069F">
        <w:t xml:space="preserve"> ή ο/η Πρύτανης του Πανεπιστημίου Ιωαννίνων</w:t>
      </w:r>
      <w:r w:rsidR="00921C7A" w:rsidRPr="0059069F">
        <w:t>,</w:t>
      </w:r>
      <w:r w:rsidRPr="0059069F">
        <w:t xml:space="preserve"> σε περίπτωση </w:t>
      </w:r>
      <w:proofErr w:type="spellStart"/>
      <w:r w:rsidRPr="0059069F">
        <w:t>Μονοτμηματικής</w:t>
      </w:r>
      <w:proofErr w:type="spellEnd"/>
      <w:r w:rsidRPr="0059069F">
        <w:t xml:space="preserve"> Σχολής</w:t>
      </w:r>
      <w:r w:rsidR="00921C7A" w:rsidRPr="0059069F">
        <w:t>,</w:t>
      </w:r>
      <w:r w:rsidRPr="0059069F">
        <w:t xml:space="preserve"> είναι αρμόδιος/α για την εποπτεία της ορθής εφαρμογής τους.</w:t>
      </w:r>
    </w:p>
    <w:p w14:paraId="0B2FED4D" w14:textId="77777777" w:rsidR="00580B3B" w:rsidRPr="0059069F" w:rsidRDefault="00580B3B" w:rsidP="00580B3B">
      <w:pPr>
        <w:jc w:val="both"/>
        <w:rPr>
          <w:rFonts w:cs="Calibri"/>
        </w:rPr>
      </w:pPr>
    </w:p>
    <w:p w14:paraId="48AF686E" w14:textId="77777777" w:rsidR="00580B3B" w:rsidRPr="0059069F" w:rsidRDefault="00580B3B" w:rsidP="00580B3B">
      <w:pPr>
        <w:jc w:val="center"/>
        <w:rPr>
          <w:rFonts w:cs="Calibri"/>
          <w:b/>
          <w:bCs/>
        </w:rPr>
      </w:pPr>
      <w:r w:rsidRPr="0059069F">
        <w:rPr>
          <w:rFonts w:cs="Calibri"/>
          <w:b/>
          <w:bCs/>
        </w:rPr>
        <w:t>Τελικές διατάξεις</w:t>
      </w:r>
    </w:p>
    <w:p w14:paraId="0C462C6A" w14:textId="77777777" w:rsidR="00580B3B" w:rsidRPr="0059069F" w:rsidRDefault="00580B3B" w:rsidP="00580B3B">
      <w:pPr>
        <w:jc w:val="center"/>
        <w:rPr>
          <w:rFonts w:cs="Calibri"/>
          <w:b/>
          <w:bCs/>
        </w:rPr>
      </w:pPr>
    </w:p>
    <w:p w14:paraId="7B2299EC" w14:textId="77777777" w:rsidR="00580B3B" w:rsidRPr="0059069F" w:rsidRDefault="00580B3B" w:rsidP="00E53473">
      <w:pPr>
        <w:spacing w:line="240" w:lineRule="auto"/>
        <w:jc w:val="both"/>
        <w:rPr>
          <w:rFonts w:cs="Calibri"/>
        </w:rPr>
      </w:pPr>
      <w:r w:rsidRPr="0059069F">
        <w:rPr>
          <w:rFonts w:cs="Calibri"/>
        </w:rPr>
        <w:t>Ο παρών Κανονισμός τίθεται σε ισχύ από την ημερομηνία έγκρισης του από την Σύγκλητο και αντικαθιστά κάθε προηγούμενη ρύθμιση για την ίδια διαδικασία.</w:t>
      </w:r>
    </w:p>
    <w:p w14:paraId="7977F482" w14:textId="77777777" w:rsidR="00580B3B" w:rsidRDefault="00580B3B" w:rsidP="00580B3B">
      <w:pPr>
        <w:jc w:val="both"/>
        <w:rPr>
          <w:rFonts w:cs="Calibri"/>
          <w:color w:val="70AD47"/>
        </w:rPr>
      </w:pPr>
    </w:p>
    <w:p w14:paraId="09EC1026" w14:textId="77777777" w:rsidR="00580B3B" w:rsidRPr="00DE23B2" w:rsidRDefault="00580B3B" w:rsidP="00580B3B">
      <w:pPr>
        <w:jc w:val="both"/>
        <w:rPr>
          <w:rFonts w:cs="Calibri"/>
        </w:rPr>
      </w:pPr>
    </w:p>
    <w:p w14:paraId="40342B17" w14:textId="77777777" w:rsidR="00580B3B" w:rsidRPr="00DE23B2" w:rsidRDefault="00580B3B" w:rsidP="00580B3B">
      <w:pPr>
        <w:spacing w:after="160" w:line="259" w:lineRule="auto"/>
        <w:rPr>
          <w:rFonts w:cs="Calibri"/>
        </w:rPr>
        <w:sectPr w:rsidR="00580B3B" w:rsidRPr="00DE23B2" w:rsidSect="00226B03">
          <w:footerReference w:type="default" r:id="rId7"/>
          <w:pgSz w:w="11906" w:h="16838"/>
          <w:pgMar w:top="1440" w:right="1080" w:bottom="1440" w:left="1080" w:header="708" w:footer="708" w:gutter="0"/>
          <w:cols w:space="708"/>
          <w:docGrid w:linePitch="360"/>
        </w:sectPr>
      </w:pPr>
    </w:p>
    <w:p w14:paraId="2C65EE6B" w14:textId="77777777" w:rsidR="00580B3B" w:rsidRPr="00412945" w:rsidRDefault="00580B3B" w:rsidP="00580B3B">
      <w:pPr>
        <w:jc w:val="center"/>
        <w:rPr>
          <w:rFonts w:cs="Calibri"/>
          <w:b/>
          <w:color w:val="000000" w:themeColor="text1"/>
        </w:rPr>
      </w:pPr>
      <w:r>
        <w:rPr>
          <w:rFonts w:cs="Calibri"/>
          <w:b/>
        </w:rPr>
        <w:lastRenderedPageBreak/>
        <w:t xml:space="preserve">Πίνακας εφαρμογής των διατάξεων της  ανώτατης διάρκειας φοίτησης του ν. 4957/2022 </w:t>
      </w:r>
      <w:r w:rsidRPr="00412945">
        <w:rPr>
          <w:rFonts w:cs="Calibri"/>
          <w:b/>
          <w:color w:val="000000" w:themeColor="text1"/>
        </w:rPr>
        <w:t>όπως τροποποιήθηκε και ισχύει με τις διατάξεις του ν. 5224/2025</w:t>
      </w:r>
    </w:p>
    <w:p w14:paraId="5D784946" w14:textId="77777777" w:rsidR="00580B3B" w:rsidRDefault="00580B3B" w:rsidP="00580B3B">
      <w:pPr>
        <w:jc w:val="center"/>
        <w:rPr>
          <w:rFonts w:cs="Calibri"/>
          <w:b/>
          <w:sz w:val="22"/>
          <w:szCs w:val="22"/>
        </w:rPr>
      </w:pPr>
    </w:p>
    <w:tbl>
      <w:tblPr>
        <w:tblW w:w="15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1729"/>
        <w:gridCol w:w="1700"/>
        <w:gridCol w:w="1554"/>
        <w:gridCol w:w="1765"/>
        <w:gridCol w:w="1533"/>
        <w:gridCol w:w="1785"/>
        <w:gridCol w:w="2588"/>
        <w:gridCol w:w="1554"/>
      </w:tblGrid>
      <w:tr w:rsidR="00580B3B" w14:paraId="29F2D039" w14:textId="77777777" w:rsidTr="0058706E">
        <w:trPr>
          <w:trHeight w:val="1531"/>
          <w:tblHeader/>
          <w:jc w:val="center"/>
        </w:trPr>
        <w:tc>
          <w:tcPr>
            <w:tcW w:w="1376" w:type="dxa"/>
            <w:vAlign w:val="center"/>
          </w:tcPr>
          <w:p w14:paraId="6A9FEA6E" w14:textId="77777777" w:rsidR="00580B3B" w:rsidRDefault="00580B3B" w:rsidP="0058706E">
            <w:pPr>
              <w:jc w:val="center"/>
              <w:rPr>
                <w:rFonts w:cs="Calibri"/>
                <w:b/>
                <w:bCs/>
                <w:sz w:val="22"/>
                <w:szCs w:val="22"/>
              </w:rPr>
            </w:pPr>
            <w:r>
              <w:rPr>
                <w:rFonts w:cs="Calibri"/>
                <w:b/>
                <w:bCs/>
                <w:sz w:val="22"/>
                <w:szCs w:val="22"/>
              </w:rPr>
              <w:t>Ακαδημαϊκό έτος Εισαγωγής</w:t>
            </w:r>
          </w:p>
        </w:tc>
        <w:tc>
          <w:tcPr>
            <w:tcW w:w="1729" w:type="dxa"/>
            <w:vAlign w:val="center"/>
          </w:tcPr>
          <w:p w14:paraId="13F15C4C" w14:textId="77777777" w:rsidR="00580B3B" w:rsidRDefault="00580B3B" w:rsidP="0058706E">
            <w:pPr>
              <w:jc w:val="center"/>
              <w:rPr>
                <w:rFonts w:cs="Calibri"/>
                <w:b/>
                <w:bCs/>
                <w:sz w:val="22"/>
                <w:szCs w:val="22"/>
              </w:rPr>
            </w:pPr>
            <w:r>
              <w:rPr>
                <w:rFonts w:cs="Calibri"/>
                <w:b/>
                <w:bCs/>
                <w:sz w:val="22"/>
                <w:szCs w:val="22"/>
              </w:rPr>
              <w:t>Ανώτατη διάρκεια για ΠΠΣ 4ετούς φοίτησης (σύνολο ετών)</w:t>
            </w:r>
          </w:p>
        </w:tc>
        <w:tc>
          <w:tcPr>
            <w:tcW w:w="1700" w:type="dxa"/>
            <w:vAlign w:val="center"/>
          </w:tcPr>
          <w:p w14:paraId="2D6E9D63" w14:textId="77777777" w:rsidR="00580B3B" w:rsidRDefault="00580B3B" w:rsidP="0058706E">
            <w:pPr>
              <w:jc w:val="center"/>
              <w:rPr>
                <w:rFonts w:cs="Calibri"/>
                <w:b/>
                <w:bCs/>
                <w:sz w:val="22"/>
                <w:szCs w:val="22"/>
              </w:rPr>
            </w:pPr>
            <w:r>
              <w:rPr>
                <w:rFonts w:cs="Calibri"/>
                <w:b/>
                <w:bCs/>
                <w:sz w:val="22"/>
                <w:szCs w:val="22"/>
              </w:rPr>
              <w:t>Ανώτατη διάρκεια για ΠΠΣ 4ετούς φοίτησης (</w:t>
            </w:r>
            <w:proofErr w:type="spellStart"/>
            <w:r>
              <w:rPr>
                <w:rFonts w:cs="Calibri"/>
                <w:b/>
                <w:bCs/>
                <w:sz w:val="22"/>
                <w:szCs w:val="22"/>
              </w:rPr>
              <w:t>ακαδ</w:t>
            </w:r>
            <w:proofErr w:type="spellEnd"/>
            <w:r>
              <w:rPr>
                <w:rFonts w:cs="Calibri"/>
                <w:b/>
                <w:bCs/>
                <w:sz w:val="22"/>
                <w:szCs w:val="22"/>
              </w:rPr>
              <w:t>. έτος  ολοκλήρωσης της ανώτατης διάρκειας φοίτησης)</w:t>
            </w:r>
          </w:p>
        </w:tc>
        <w:tc>
          <w:tcPr>
            <w:tcW w:w="1554" w:type="dxa"/>
            <w:vAlign w:val="center"/>
          </w:tcPr>
          <w:p w14:paraId="0798A746" w14:textId="77777777" w:rsidR="00580B3B" w:rsidRDefault="00580B3B" w:rsidP="0058706E">
            <w:pPr>
              <w:jc w:val="center"/>
              <w:rPr>
                <w:rFonts w:cs="Calibri"/>
                <w:b/>
                <w:bCs/>
                <w:sz w:val="22"/>
                <w:szCs w:val="22"/>
              </w:rPr>
            </w:pPr>
            <w:r>
              <w:rPr>
                <w:rFonts w:cs="Calibri"/>
                <w:b/>
                <w:bCs/>
                <w:sz w:val="22"/>
                <w:szCs w:val="22"/>
              </w:rPr>
              <w:t>Ανώτατη διάρκεια για ΠΠΣ 5ετούς φοίτησης (σύνολο ετών)</w:t>
            </w:r>
          </w:p>
        </w:tc>
        <w:tc>
          <w:tcPr>
            <w:tcW w:w="1765" w:type="dxa"/>
            <w:vAlign w:val="center"/>
          </w:tcPr>
          <w:p w14:paraId="0655E6C6" w14:textId="77777777" w:rsidR="00580B3B" w:rsidRDefault="00580B3B" w:rsidP="0058706E">
            <w:pPr>
              <w:ind w:right="165"/>
              <w:jc w:val="center"/>
              <w:rPr>
                <w:rFonts w:cs="Calibri"/>
                <w:b/>
                <w:bCs/>
                <w:sz w:val="22"/>
                <w:szCs w:val="22"/>
              </w:rPr>
            </w:pPr>
            <w:r>
              <w:rPr>
                <w:rFonts w:cs="Calibri"/>
                <w:b/>
                <w:bCs/>
                <w:sz w:val="22"/>
                <w:szCs w:val="22"/>
              </w:rPr>
              <w:t>Ανώτατη διάρκεια για Τμήματα 5ετούς φοίτησης (</w:t>
            </w:r>
            <w:proofErr w:type="spellStart"/>
            <w:r>
              <w:rPr>
                <w:rFonts w:cs="Calibri"/>
                <w:b/>
                <w:bCs/>
                <w:sz w:val="22"/>
                <w:szCs w:val="22"/>
              </w:rPr>
              <w:t>ακαδ</w:t>
            </w:r>
            <w:proofErr w:type="spellEnd"/>
            <w:r>
              <w:rPr>
                <w:rFonts w:cs="Calibri"/>
                <w:b/>
                <w:bCs/>
                <w:sz w:val="22"/>
                <w:szCs w:val="22"/>
              </w:rPr>
              <w:t>. έτος ολοκλήρωσης  της ανώτατης διάρκειας φοίτησης)</w:t>
            </w:r>
          </w:p>
        </w:tc>
        <w:tc>
          <w:tcPr>
            <w:tcW w:w="1533" w:type="dxa"/>
            <w:vAlign w:val="center"/>
          </w:tcPr>
          <w:p w14:paraId="2882F234" w14:textId="77777777" w:rsidR="00580B3B" w:rsidRDefault="00580B3B" w:rsidP="0058706E">
            <w:pPr>
              <w:jc w:val="center"/>
              <w:rPr>
                <w:rFonts w:cs="Calibri"/>
                <w:b/>
                <w:bCs/>
                <w:sz w:val="22"/>
                <w:szCs w:val="22"/>
              </w:rPr>
            </w:pPr>
            <w:r>
              <w:rPr>
                <w:rFonts w:cs="Calibri"/>
                <w:b/>
                <w:bCs/>
                <w:sz w:val="22"/>
                <w:szCs w:val="22"/>
              </w:rPr>
              <w:t>Ανώτατη διάρκεια για Τμήματα 6ετούς φοίτησης (σύνολο ετών)</w:t>
            </w:r>
          </w:p>
        </w:tc>
        <w:tc>
          <w:tcPr>
            <w:tcW w:w="1785" w:type="dxa"/>
            <w:vAlign w:val="center"/>
          </w:tcPr>
          <w:p w14:paraId="4292782D" w14:textId="77777777" w:rsidR="00580B3B" w:rsidRDefault="00580B3B" w:rsidP="0058706E">
            <w:pPr>
              <w:jc w:val="center"/>
              <w:rPr>
                <w:rFonts w:cs="Calibri"/>
                <w:b/>
                <w:bCs/>
                <w:sz w:val="22"/>
                <w:szCs w:val="22"/>
              </w:rPr>
            </w:pPr>
            <w:r>
              <w:rPr>
                <w:rFonts w:cs="Calibri"/>
                <w:b/>
                <w:bCs/>
                <w:sz w:val="22"/>
                <w:szCs w:val="22"/>
              </w:rPr>
              <w:t>Ανώτατη διάρκεια για ΠΠΣ 6ετούς φοίτησης (</w:t>
            </w:r>
            <w:proofErr w:type="spellStart"/>
            <w:r>
              <w:rPr>
                <w:rFonts w:cs="Calibri"/>
                <w:b/>
                <w:bCs/>
                <w:sz w:val="22"/>
                <w:szCs w:val="22"/>
              </w:rPr>
              <w:t>ακαδ</w:t>
            </w:r>
            <w:proofErr w:type="spellEnd"/>
            <w:r>
              <w:rPr>
                <w:rFonts w:cs="Calibri"/>
                <w:b/>
                <w:bCs/>
                <w:sz w:val="22"/>
                <w:szCs w:val="22"/>
              </w:rPr>
              <w:t>. έτος ολοκλήρωσης  της ανώτατης διάρκειας φοίτησης)</w:t>
            </w:r>
          </w:p>
        </w:tc>
        <w:tc>
          <w:tcPr>
            <w:tcW w:w="2588" w:type="dxa"/>
            <w:vAlign w:val="center"/>
          </w:tcPr>
          <w:p w14:paraId="08193489" w14:textId="77777777" w:rsidR="00580B3B" w:rsidRDefault="00580B3B" w:rsidP="0058706E">
            <w:pPr>
              <w:jc w:val="center"/>
              <w:rPr>
                <w:rFonts w:cs="Calibri"/>
                <w:b/>
                <w:bCs/>
                <w:sz w:val="22"/>
                <w:szCs w:val="22"/>
              </w:rPr>
            </w:pPr>
            <w:r>
              <w:rPr>
                <w:rFonts w:cs="Calibri"/>
                <w:b/>
                <w:bCs/>
                <w:sz w:val="22"/>
                <w:szCs w:val="22"/>
              </w:rPr>
              <w:t>Νομοθεσία</w:t>
            </w:r>
          </w:p>
        </w:tc>
        <w:tc>
          <w:tcPr>
            <w:tcW w:w="1554" w:type="dxa"/>
            <w:vAlign w:val="center"/>
          </w:tcPr>
          <w:p w14:paraId="4A012B9C" w14:textId="77777777" w:rsidR="00580B3B" w:rsidRDefault="00580B3B" w:rsidP="0058706E">
            <w:pPr>
              <w:jc w:val="center"/>
              <w:rPr>
                <w:rFonts w:cs="Calibri"/>
                <w:b/>
                <w:bCs/>
                <w:sz w:val="22"/>
                <w:szCs w:val="22"/>
              </w:rPr>
            </w:pPr>
            <w:proofErr w:type="spellStart"/>
            <w:r>
              <w:rPr>
                <w:rFonts w:cs="Calibri"/>
                <w:b/>
                <w:bCs/>
                <w:sz w:val="22"/>
                <w:szCs w:val="22"/>
              </w:rPr>
              <w:t>Ακαδ</w:t>
            </w:r>
            <w:proofErr w:type="spellEnd"/>
            <w:r>
              <w:rPr>
                <w:rFonts w:cs="Calibri"/>
                <w:b/>
                <w:bCs/>
                <w:sz w:val="22"/>
                <w:szCs w:val="22"/>
              </w:rPr>
              <w:t>. έτος έναρξης εφαρμογής Ανώτατης Διάρκειας Φοίτησης</w:t>
            </w:r>
          </w:p>
        </w:tc>
      </w:tr>
      <w:tr w:rsidR="00580B3B" w14:paraId="2203161A" w14:textId="77777777" w:rsidTr="0058706E">
        <w:trPr>
          <w:jc w:val="center"/>
        </w:trPr>
        <w:tc>
          <w:tcPr>
            <w:tcW w:w="1376" w:type="dxa"/>
            <w:vAlign w:val="center"/>
          </w:tcPr>
          <w:p w14:paraId="632AD84C"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2025-2026</w:t>
            </w:r>
          </w:p>
        </w:tc>
        <w:tc>
          <w:tcPr>
            <w:tcW w:w="1729" w:type="dxa"/>
            <w:vMerge w:val="restart"/>
            <w:shd w:val="clear" w:color="auto" w:fill="FAE2D5"/>
            <w:textDirection w:val="btLr"/>
            <w:vAlign w:val="center"/>
          </w:tcPr>
          <w:p w14:paraId="7DB8C149" w14:textId="77777777" w:rsidR="00580B3B" w:rsidRDefault="00580B3B" w:rsidP="0058706E">
            <w:pPr>
              <w:ind w:left="113" w:right="113"/>
              <w:jc w:val="center"/>
              <w:rPr>
                <w:rFonts w:cs="Calibri"/>
                <w:sz w:val="22"/>
                <w:szCs w:val="22"/>
              </w:rPr>
            </w:pPr>
            <w:r>
              <w:rPr>
                <w:rFonts w:cs="Calibri"/>
                <w:sz w:val="22"/>
                <w:szCs w:val="22"/>
              </w:rPr>
              <w:t>ν+2 έτη = 6 έτη</w:t>
            </w:r>
          </w:p>
          <w:p w14:paraId="33DBFA04" w14:textId="77777777" w:rsidR="00580B3B" w:rsidRDefault="00580B3B" w:rsidP="0058706E">
            <w:pPr>
              <w:ind w:left="113" w:right="113"/>
              <w:jc w:val="center"/>
              <w:rPr>
                <w:rFonts w:cs="Calibri"/>
                <w:sz w:val="22"/>
                <w:szCs w:val="22"/>
              </w:rPr>
            </w:pPr>
          </w:p>
        </w:tc>
        <w:tc>
          <w:tcPr>
            <w:tcW w:w="1700" w:type="dxa"/>
            <w:vAlign w:val="center"/>
          </w:tcPr>
          <w:p w14:paraId="191345E5"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2030-2031</w:t>
            </w:r>
          </w:p>
        </w:tc>
        <w:tc>
          <w:tcPr>
            <w:tcW w:w="1554" w:type="dxa"/>
            <w:vMerge w:val="restart"/>
            <w:shd w:val="clear" w:color="auto" w:fill="DAE9F7"/>
            <w:textDirection w:val="btLr"/>
            <w:vAlign w:val="center"/>
          </w:tcPr>
          <w:p w14:paraId="136D1EE3" w14:textId="77777777" w:rsidR="00580B3B" w:rsidRDefault="00580B3B" w:rsidP="0058706E">
            <w:pPr>
              <w:ind w:left="113" w:right="113"/>
              <w:jc w:val="center"/>
              <w:rPr>
                <w:rFonts w:cs="Calibri"/>
                <w:sz w:val="22"/>
                <w:szCs w:val="22"/>
              </w:rPr>
            </w:pPr>
            <w:r>
              <w:rPr>
                <w:rFonts w:cs="Calibri"/>
                <w:sz w:val="22"/>
                <w:szCs w:val="22"/>
              </w:rPr>
              <w:t>ν+3 έτη = 8 έτη</w:t>
            </w:r>
          </w:p>
          <w:p w14:paraId="5C46A2E2" w14:textId="77777777" w:rsidR="00580B3B" w:rsidRDefault="00580B3B" w:rsidP="0058706E">
            <w:pPr>
              <w:ind w:left="113" w:right="113"/>
              <w:jc w:val="center"/>
              <w:rPr>
                <w:rFonts w:cs="Calibri"/>
                <w:sz w:val="22"/>
                <w:szCs w:val="22"/>
              </w:rPr>
            </w:pPr>
          </w:p>
        </w:tc>
        <w:tc>
          <w:tcPr>
            <w:tcW w:w="1765" w:type="dxa"/>
            <w:vAlign w:val="center"/>
          </w:tcPr>
          <w:p w14:paraId="1CE3AFB1"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2032-2033</w:t>
            </w:r>
          </w:p>
        </w:tc>
        <w:tc>
          <w:tcPr>
            <w:tcW w:w="1533" w:type="dxa"/>
            <w:vMerge w:val="restart"/>
            <w:shd w:val="clear" w:color="auto" w:fill="E5D4FE"/>
            <w:textDirection w:val="btLr"/>
          </w:tcPr>
          <w:p w14:paraId="65D7C8E1" w14:textId="77777777" w:rsidR="00580B3B" w:rsidRDefault="00580B3B" w:rsidP="0058706E">
            <w:pPr>
              <w:ind w:left="113" w:right="113"/>
              <w:rPr>
                <w:rFonts w:cs="Calibri"/>
                <w:sz w:val="22"/>
                <w:szCs w:val="22"/>
              </w:rPr>
            </w:pPr>
          </w:p>
          <w:p w14:paraId="224246B1" w14:textId="77777777" w:rsidR="00580B3B" w:rsidRDefault="00580B3B" w:rsidP="0058706E">
            <w:pPr>
              <w:ind w:left="113" w:right="113"/>
              <w:jc w:val="center"/>
              <w:rPr>
                <w:rFonts w:cs="Calibri"/>
                <w:color w:val="EE0000"/>
                <w:sz w:val="22"/>
                <w:szCs w:val="22"/>
              </w:rPr>
            </w:pPr>
            <w:r>
              <w:rPr>
                <w:rFonts w:cs="Calibri"/>
                <w:sz w:val="22"/>
                <w:szCs w:val="22"/>
              </w:rPr>
              <w:t>ν+3 έτη = 9 έτη</w:t>
            </w:r>
          </w:p>
        </w:tc>
        <w:tc>
          <w:tcPr>
            <w:tcW w:w="1785" w:type="dxa"/>
            <w:vAlign w:val="center"/>
          </w:tcPr>
          <w:p w14:paraId="639EBDCE"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2033-2034</w:t>
            </w:r>
          </w:p>
        </w:tc>
        <w:tc>
          <w:tcPr>
            <w:tcW w:w="2588" w:type="dxa"/>
            <w:vAlign w:val="center"/>
          </w:tcPr>
          <w:p w14:paraId="5BE468F1" w14:textId="77777777" w:rsidR="00580B3B" w:rsidRDefault="00580B3B" w:rsidP="0058706E">
            <w:pPr>
              <w:jc w:val="center"/>
              <w:rPr>
                <w:rFonts w:cs="Calibri"/>
                <w:sz w:val="22"/>
                <w:szCs w:val="22"/>
              </w:rPr>
            </w:pPr>
            <w:r w:rsidRPr="00412945">
              <w:rPr>
                <w:rFonts w:cs="Calibri"/>
                <w:color w:val="000000" w:themeColor="text1"/>
                <w:sz w:val="22"/>
                <w:szCs w:val="22"/>
              </w:rPr>
              <w:t>Παρ.1 του άρθρου 130 του ν.5224/2025</w:t>
            </w:r>
          </w:p>
        </w:tc>
        <w:tc>
          <w:tcPr>
            <w:tcW w:w="1554" w:type="dxa"/>
            <w:vAlign w:val="center"/>
          </w:tcPr>
          <w:p w14:paraId="649ACEF9"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2025-2026</w:t>
            </w:r>
          </w:p>
        </w:tc>
      </w:tr>
      <w:tr w:rsidR="00580B3B" w14:paraId="4045922A" w14:textId="77777777" w:rsidTr="0058706E">
        <w:trPr>
          <w:jc w:val="center"/>
        </w:trPr>
        <w:tc>
          <w:tcPr>
            <w:tcW w:w="1376" w:type="dxa"/>
            <w:vAlign w:val="center"/>
          </w:tcPr>
          <w:p w14:paraId="6B73AFA5"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2024-2025</w:t>
            </w:r>
          </w:p>
        </w:tc>
        <w:tc>
          <w:tcPr>
            <w:tcW w:w="1729" w:type="dxa"/>
            <w:vMerge/>
            <w:shd w:val="clear" w:color="auto" w:fill="FAE2D5"/>
            <w:textDirection w:val="btLr"/>
            <w:vAlign w:val="center"/>
          </w:tcPr>
          <w:p w14:paraId="502642BA" w14:textId="77777777" w:rsidR="00580B3B" w:rsidRDefault="00580B3B" w:rsidP="0058706E">
            <w:pPr>
              <w:ind w:left="113" w:right="113"/>
              <w:jc w:val="center"/>
              <w:rPr>
                <w:rFonts w:cs="Calibri"/>
                <w:sz w:val="22"/>
                <w:szCs w:val="22"/>
              </w:rPr>
            </w:pPr>
          </w:p>
        </w:tc>
        <w:tc>
          <w:tcPr>
            <w:tcW w:w="1700" w:type="dxa"/>
            <w:vAlign w:val="center"/>
          </w:tcPr>
          <w:p w14:paraId="66DAC816"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2029-2030</w:t>
            </w:r>
          </w:p>
        </w:tc>
        <w:tc>
          <w:tcPr>
            <w:tcW w:w="1554" w:type="dxa"/>
            <w:vMerge/>
            <w:shd w:val="clear" w:color="auto" w:fill="DAE9F7"/>
            <w:textDirection w:val="btLr"/>
            <w:vAlign w:val="center"/>
          </w:tcPr>
          <w:p w14:paraId="723AF11F" w14:textId="77777777" w:rsidR="00580B3B" w:rsidRDefault="00580B3B" w:rsidP="0058706E">
            <w:pPr>
              <w:ind w:left="113" w:right="113"/>
              <w:jc w:val="center"/>
              <w:rPr>
                <w:rFonts w:cs="Calibri"/>
                <w:sz w:val="22"/>
                <w:szCs w:val="22"/>
              </w:rPr>
            </w:pPr>
          </w:p>
        </w:tc>
        <w:tc>
          <w:tcPr>
            <w:tcW w:w="1765" w:type="dxa"/>
            <w:vAlign w:val="center"/>
          </w:tcPr>
          <w:p w14:paraId="5A411923"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2031-2032</w:t>
            </w:r>
          </w:p>
        </w:tc>
        <w:tc>
          <w:tcPr>
            <w:tcW w:w="1533" w:type="dxa"/>
            <w:vMerge/>
            <w:shd w:val="clear" w:color="auto" w:fill="E5D4FE"/>
          </w:tcPr>
          <w:p w14:paraId="0E6E3CB1" w14:textId="77777777" w:rsidR="00580B3B" w:rsidRDefault="00580B3B" w:rsidP="0058706E">
            <w:pPr>
              <w:jc w:val="center"/>
              <w:rPr>
                <w:rFonts w:cs="Calibri"/>
                <w:color w:val="EE0000"/>
                <w:sz w:val="22"/>
                <w:szCs w:val="22"/>
              </w:rPr>
            </w:pPr>
          </w:p>
        </w:tc>
        <w:tc>
          <w:tcPr>
            <w:tcW w:w="1785" w:type="dxa"/>
            <w:vAlign w:val="center"/>
          </w:tcPr>
          <w:p w14:paraId="361B1823"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2032-2033</w:t>
            </w:r>
          </w:p>
        </w:tc>
        <w:tc>
          <w:tcPr>
            <w:tcW w:w="2588" w:type="dxa"/>
            <w:vAlign w:val="center"/>
          </w:tcPr>
          <w:p w14:paraId="4879B548" w14:textId="77777777" w:rsidR="00580B3B" w:rsidRDefault="00580B3B" w:rsidP="0058706E">
            <w:pPr>
              <w:jc w:val="center"/>
              <w:rPr>
                <w:rFonts w:cs="Calibri"/>
                <w:sz w:val="22"/>
                <w:szCs w:val="22"/>
              </w:rPr>
            </w:pPr>
            <w:r>
              <w:rPr>
                <w:rFonts w:cs="Calibri"/>
                <w:sz w:val="22"/>
                <w:szCs w:val="22"/>
              </w:rPr>
              <w:t>Παρ.1 του άρθρου 76 ν.4957/2022</w:t>
            </w:r>
          </w:p>
        </w:tc>
        <w:tc>
          <w:tcPr>
            <w:tcW w:w="1554" w:type="dxa"/>
            <w:vAlign w:val="center"/>
          </w:tcPr>
          <w:p w14:paraId="002C5856"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2024-2025</w:t>
            </w:r>
          </w:p>
        </w:tc>
      </w:tr>
      <w:tr w:rsidR="00580B3B" w14:paraId="55C9D3C5" w14:textId="77777777" w:rsidTr="0058706E">
        <w:trPr>
          <w:jc w:val="center"/>
        </w:trPr>
        <w:tc>
          <w:tcPr>
            <w:tcW w:w="1376" w:type="dxa"/>
            <w:vAlign w:val="center"/>
          </w:tcPr>
          <w:p w14:paraId="48053491" w14:textId="77777777" w:rsidR="00580B3B" w:rsidRDefault="00580B3B" w:rsidP="0058706E">
            <w:pPr>
              <w:jc w:val="center"/>
              <w:rPr>
                <w:rFonts w:cs="Calibri"/>
                <w:sz w:val="22"/>
                <w:szCs w:val="22"/>
              </w:rPr>
            </w:pPr>
            <w:r>
              <w:rPr>
                <w:rFonts w:cs="Calibri"/>
                <w:sz w:val="22"/>
                <w:szCs w:val="22"/>
              </w:rPr>
              <w:t>2023-2024</w:t>
            </w:r>
          </w:p>
        </w:tc>
        <w:tc>
          <w:tcPr>
            <w:tcW w:w="1729" w:type="dxa"/>
            <w:vMerge/>
            <w:shd w:val="clear" w:color="auto" w:fill="FAE2D5"/>
            <w:textDirection w:val="btLr"/>
            <w:vAlign w:val="center"/>
          </w:tcPr>
          <w:p w14:paraId="0ABE88B4" w14:textId="77777777" w:rsidR="00580B3B" w:rsidRDefault="00580B3B" w:rsidP="0058706E">
            <w:pPr>
              <w:ind w:left="113" w:right="113"/>
              <w:jc w:val="center"/>
              <w:rPr>
                <w:rFonts w:cs="Calibri"/>
                <w:sz w:val="22"/>
                <w:szCs w:val="22"/>
              </w:rPr>
            </w:pPr>
          </w:p>
        </w:tc>
        <w:tc>
          <w:tcPr>
            <w:tcW w:w="1700" w:type="dxa"/>
            <w:vAlign w:val="center"/>
          </w:tcPr>
          <w:p w14:paraId="4A8F15B1" w14:textId="77777777" w:rsidR="00580B3B" w:rsidRDefault="00580B3B" w:rsidP="0058706E">
            <w:pPr>
              <w:jc w:val="center"/>
              <w:rPr>
                <w:rFonts w:cs="Calibri"/>
                <w:sz w:val="22"/>
                <w:szCs w:val="22"/>
              </w:rPr>
            </w:pPr>
            <w:r>
              <w:rPr>
                <w:rFonts w:cs="Calibri"/>
                <w:sz w:val="22"/>
                <w:szCs w:val="22"/>
              </w:rPr>
              <w:t>2028-2029</w:t>
            </w:r>
          </w:p>
        </w:tc>
        <w:tc>
          <w:tcPr>
            <w:tcW w:w="1554" w:type="dxa"/>
            <w:vMerge/>
            <w:shd w:val="clear" w:color="auto" w:fill="DAE9F7"/>
            <w:textDirection w:val="btLr"/>
            <w:vAlign w:val="center"/>
          </w:tcPr>
          <w:p w14:paraId="6E3FF8E5" w14:textId="77777777" w:rsidR="00580B3B" w:rsidRDefault="00580B3B" w:rsidP="0058706E">
            <w:pPr>
              <w:ind w:left="113" w:right="113"/>
              <w:jc w:val="center"/>
              <w:rPr>
                <w:rFonts w:cs="Calibri"/>
                <w:sz w:val="22"/>
                <w:szCs w:val="22"/>
              </w:rPr>
            </w:pPr>
          </w:p>
        </w:tc>
        <w:tc>
          <w:tcPr>
            <w:tcW w:w="1765" w:type="dxa"/>
            <w:vAlign w:val="center"/>
          </w:tcPr>
          <w:p w14:paraId="273C61FA" w14:textId="77777777" w:rsidR="00580B3B" w:rsidRDefault="00580B3B" w:rsidP="0058706E">
            <w:pPr>
              <w:jc w:val="center"/>
              <w:rPr>
                <w:rFonts w:cs="Calibri"/>
                <w:sz w:val="22"/>
                <w:szCs w:val="22"/>
              </w:rPr>
            </w:pPr>
            <w:r>
              <w:rPr>
                <w:rFonts w:cs="Calibri"/>
                <w:sz w:val="22"/>
                <w:szCs w:val="22"/>
              </w:rPr>
              <w:t>2030-2031</w:t>
            </w:r>
          </w:p>
        </w:tc>
        <w:tc>
          <w:tcPr>
            <w:tcW w:w="1533" w:type="dxa"/>
            <w:vMerge/>
            <w:shd w:val="clear" w:color="auto" w:fill="E5D4FE"/>
          </w:tcPr>
          <w:p w14:paraId="5287862A" w14:textId="77777777" w:rsidR="00580B3B" w:rsidRDefault="00580B3B" w:rsidP="0058706E">
            <w:pPr>
              <w:jc w:val="center"/>
              <w:rPr>
                <w:rFonts w:cs="Calibri"/>
                <w:color w:val="EE0000"/>
                <w:sz w:val="22"/>
                <w:szCs w:val="22"/>
              </w:rPr>
            </w:pPr>
          </w:p>
        </w:tc>
        <w:tc>
          <w:tcPr>
            <w:tcW w:w="1785" w:type="dxa"/>
            <w:vAlign w:val="center"/>
          </w:tcPr>
          <w:p w14:paraId="3432EB00" w14:textId="77777777" w:rsidR="00580B3B" w:rsidRDefault="00580B3B" w:rsidP="0058706E">
            <w:pPr>
              <w:jc w:val="center"/>
              <w:rPr>
                <w:rFonts w:cs="Calibri"/>
                <w:sz w:val="22"/>
                <w:szCs w:val="22"/>
              </w:rPr>
            </w:pPr>
            <w:r>
              <w:rPr>
                <w:rFonts w:cs="Calibri"/>
                <w:sz w:val="22"/>
                <w:szCs w:val="22"/>
              </w:rPr>
              <w:t>2031-2032</w:t>
            </w:r>
          </w:p>
        </w:tc>
        <w:tc>
          <w:tcPr>
            <w:tcW w:w="2588" w:type="dxa"/>
            <w:vAlign w:val="center"/>
          </w:tcPr>
          <w:p w14:paraId="206E2E80" w14:textId="77777777" w:rsidR="00580B3B" w:rsidRDefault="00580B3B" w:rsidP="0058706E">
            <w:pPr>
              <w:jc w:val="center"/>
              <w:rPr>
                <w:rFonts w:cs="Calibri"/>
                <w:sz w:val="22"/>
                <w:szCs w:val="22"/>
              </w:rPr>
            </w:pPr>
            <w:r>
              <w:rPr>
                <w:rFonts w:cs="Calibri"/>
                <w:sz w:val="22"/>
                <w:szCs w:val="22"/>
              </w:rPr>
              <w:t>Παρ.1 του άρθρου 76 ν.4957/2022</w:t>
            </w:r>
          </w:p>
        </w:tc>
        <w:tc>
          <w:tcPr>
            <w:tcW w:w="1554" w:type="dxa"/>
            <w:vAlign w:val="center"/>
          </w:tcPr>
          <w:p w14:paraId="3DFAB3A0" w14:textId="77777777" w:rsidR="00580B3B" w:rsidRPr="00412945" w:rsidRDefault="00580B3B" w:rsidP="0058706E">
            <w:pPr>
              <w:jc w:val="center"/>
              <w:rPr>
                <w:rFonts w:cs="Calibri"/>
                <w:color w:val="000000" w:themeColor="text1"/>
                <w:sz w:val="22"/>
                <w:szCs w:val="22"/>
              </w:rPr>
            </w:pPr>
            <w:r w:rsidRPr="00412945">
              <w:rPr>
                <w:rFonts w:cs="Calibri"/>
                <w:color w:val="000000" w:themeColor="text1"/>
                <w:sz w:val="22"/>
                <w:szCs w:val="22"/>
              </w:rPr>
              <w:t>2023-2024</w:t>
            </w:r>
          </w:p>
        </w:tc>
      </w:tr>
      <w:tr w:rsidR="00580B3B" w14:paraId="07AD2E8F" w14:textId="77777777" w:rsidTr="0058706E">
        <w:trPr>
          <w:jc w:val="center"/>
        </w:trPr>
        <w:tc>
          <w:tcPr>
            <w:tcW w:w="1376" w:type="dxa"/>
            <w:vAlign w:val="center"/>
          </w:tcPr>
          <w:p w14:paraId="3ACE13D1" w14:textId="77777777" w:rsidR="00580B3B" w:rsidRDefault="00580B3B" w:rsidP="0058706E">
            <w:pPr>
              <w:jc w:val="center"/>
              <w:rPr>
                <w:rFonts w:cs="Calibri"/>
                <w:sz w:val="22"/>
                <w:szCs w:val="22"/>
              </w:rPr>
            </w:pPr>
            <w:r>
              <w:rPr>
                <w:rFonts w:cs="Calibri"/>
                <w:sz w:val="22"/>
                <w:szCs w:val="22"/>
              </w:rPr>
              <w:t>2022-2023</w:t>
            </w:r>
          </w:p>
        </w:tc>
        <w:tc>
          <w:tcPr>
            <w:tcW w:w="1729" w:type="dxa"/>
            <w:vMerge/>
            <w:shd w:val="clear" w:color="auto" w:fill="FAE2D5"/>
            <w:textDirection w:val="btLr"/>
            <w:vAlign w:val="center"/>
          </w:tcPr>
          <w:p w14:paraId="0EDB1E4F" w14:textId="77777777" w:rsidR="00580B3B" w:rsidRDefault="00580B3B" w:rsidP="0058706E">
            <w:pPr>
              <w:ind w:left="113" w:right="113"/>
              <w:jc w:val="center"/>
              <w:rPr>
                <w:rFonts w:cs="Calibri"/>
                <w:sz w:val="22"/>
                <w:szCs w:val="22"/>
              </w:rPr>
            </w:pPr>
          </w:p>
        </w:tc>
        <w:tc>
          <w:tcPr>
            <w:tcW w:w="1700" w:type="dxa"/>
            <w:vAlign w:val="center"/>
          </w:tcPr>
          <w:p w14:paraId="072666F6" w14:textId="77777777" w:rsidR="00580B3B" w:rsidRDefault="00580B3B" w:rsidP="0058706E">
            <w:pPr>
              <w:jc w:val="center"/>
              <w:rPr>
                <w:rFonts w:cs="Calibri"/>
                <w:sz w:val="22"/>
                <w:szCs w:val="22"/>
              </w:rPr>
            </w:pPr>
            <w:r>
              <w:rPr>
                <w:rFonts w:cs="Calibri"/>
                <w:sz w:val="22"/>
                <w:szCs w:val="22"/>
              </w:rPr>
              <w:t>2027-2028</w:t>
            </w:r>
          </w:p>
        </w:tc>
        <w:tc>
          <w:tcPr>
            <w:tcW w:w="1554" w:type="dxa"/>
            <w:vMerge/>
            <w:shd w:val="clear" w:color="auto" w:fill="DAE9F7"/>
            <w:textDirection w:val="btLr"/>
            <w:vAlign w:val="center"/>
          </w:tcPr>
          <w:p w14:paraId="6748AFED" w14:textId="77777777" w:rsidR="00580B3B" w:rsidRDefault="00580B3B" w:rsidP="0058706E">
            <w:pPr>
              <w:ind w:left="113" w:right="113"/>
              <w:jc w:val="center"/>
              <w:rPr>
                <w:rFonts w:cs="Calibri"/>
                <w:sz w:val="22"/>
                <w:szCs w:val="22"/>
              </w:rPr>
            </w:pPr>
          </w:p>
        </w:tc>
        <w:tc>
          <w:tcPr>
            <w:tcW w:w="1765" w:type="dxa"/>
            <w:vAlign w:val="center"/>
          </w:tcPr>
          <w:p w14:paraId="6A91F8A7" w14:textId="77777777" w:rsidR="00580B3B" w:rsidRDefault="00580B3B" w:rsidP="0058706E">
            <w:pPr>
              <w:jc w:val="center"/>
              <w:rPr>
                <w:rFonts w:cs="Calibri"/>
                <w:sz w:val="22"/>
                <w:szCs w:val="22"/>
              </w:rPr>
            </w:pPr>
            <w:r>
              <w:rPr>
                <w:rFonts w:cs="Calibri"/>
                <w:sz w:val="22"/>
                <w:szCs w:val="22"/>
              </w:rPr>
              <w:t xml:space="preserve">2029-2030 </w:t>
            </w:r>
          </w:p>
        </w:tc>
        <w:tc>
          <w:tcPr>
            <w:tcW w:w="1533" w:type="dxa"/>
            <w:vMerge/>
            <w:shd w:val="clear" w:color="auto" w:fill="E5D4FE"/>
            <w:vAlign w:val="center"/>
          </w:tcPr>
          <w:p w14:paraId="7CFD0B89" w14:textId="77777777" w:rsidR="00580B3B" w:rsidRDefault="00580B3B" w:rsidP="0058706E">
            <w:pPr>
              <w:jc w:val="center"/>
              <w:rPr>
                <w:rFonts w:cs="Calibri"/>
                <w:color w:val="EE0000"/>
                <w:sz w:val="22"/>
                <w:szCs w:val="22"/>
              </w:rPr>
            </w:pPr>
          </w:p>
        </w:tc>
        <w:tc>
          <w:tcPr>
            <w:tcW w:w="1785" w:type="dxa"/>
            <w:vAlign w:val="center"/>
          </w:tcPr>
          <w:p w14:paraId="12B0840D" w14:textId="77777777" w:rsidR="00580B3B" w:rsidRDefault="00580B3B" w:rsidP="0058706E">
            <w:pPr>
              <w:jc w:val="center"/>
              <w:rPr>
                <w:rFonts w:cs="Calibri"/>
                <w:sz w:val="22"/>
                <w:szCs w:val="22"/>
              </w:rPr>
            </w:pPr>
            <w:r>
              <w:rPr>
                <w:rFonts w:cs="Calibri"/>
                <w:sz w:val="22"/>
                <w:szCs w:val="22"/>
              </w:rPr>
              <w:t>2030-2031</w:t>
            </w:r>
          </w:p>
        </w:tc>
        <w:tc>
          <w:tcPr>
            <w:tcW w:w="2588" w:type="dxa"/>
            <w:vAlign w:val="center"/>
          </w:tcPr>
          <w:p w14:paraId="18C6B52D" w14:textId="77777777" w:rsidR="00580B3B" w:rsidRDefault="00580B3B" w:rsidP="0058706E">
            <w:pPr>
              <w:jc w:val="center"/>
              <w:rPr>
                <w:rFonts w:cs="Calibri"/>
                <w:sz w:val="22"/>
                <w:szCs w:val="22"/>
              </w:rPr>
            </w:pPr>
            <w:r>
              <w:rPr>
                <w:rFonts w:cs="Calibri"/>
                <w:sz w:val="22"/>
                <w:szCs w:val="22"/>
              </w:rPr>
              <w:t>Παρ.1 του άρθρου 76 ν.4957/2022</w:t>
            </w:r>
          </w:p>
        </w:tc>
        <w:tc>
          <w:tcPr>
            <w:tcW w:w="1554" w:type="dxa"/>
            <w:vAlign w:val="center"/>
          </w:tcPr>
          <w:p w14:paraId="1A2139A5" w14:textId="77777777" w:rsidR="00580B3B" w:rsidRDefault="00580B3B" w:rsidP="0058706E">
            <w:pPr>
              <w:jc w:val="center"/>
              <w:rPr>
                <w:rFonts w:cs="Calibri"/>
                <w:sz w:val="22"/>
                <w:szCs w:val="22"/>
              </w:rPr>
            </w:pPr>
            <w:r>
              <w:rPr>
                <w:rFonts w:cs="Calibri"/>
                <w:sz w:val="22"/>
                <w:szCs w:val="22"/>
              </w:rPr>
              <w:t>2022-2023</w:t>
            </w:r>
          </w:p>
        </w:tc>
      </w:tr>
      <w:tr w:rsidR="00580B3B" w14:paraId="18A49CEC" w14:textId="77777777" w:rsidTr="0058706E">
        <w:trPr>
          <w:jc w:val="center"/>
        </w:trPr>
        <w:tc>
          <w:tcPr>
            <w:tcW w:w="1376" w:type="dxa"/>
            <w:vAlign w:val="center"/>
          </w:tcPr>
          <w:p w14:paraId="19DFDF98" w14:textId="77777777" w:rsidR="00580B3B" w:rsidRDefault="00580B3B" w:rsidP="0058706E">
            <w:pPr>
              <w:jc w:val="center"/>
              <w:rPr>
                <w:rFonts w:cs="Calibri"/>
                <w:sz w:val="22"/>
                <w:szCs w:val="22"/>
              </w:rPr>
            </w:pPr>
            <w:r>
              <w:rPr>
                <w:rFonts w:cs="Calibri"/>
                <w:sz w:val="22"/>
                <w:szCs w:val="22"/>
              </w:rPr>
              <w:t>2021-2022</w:t>
            </w:r>
          </w:p>
        </w:tc>
        <w:tc>
          <w:tcPr>
            <w:tcW w:w="1729" w:type="dxa"/>
            <w:vMerge/>
            <w:shd w:val="clear" w:color="auto" w:fill="FAE2D5"/>
            <w:vAlign w:val="center"/>
          </w:tcPr>
          <w:p w14:paraId="3C91942C" w14:textId="77777777" w:rsidR="00580B3B" w:rsidRDefault="00580B3B" w:rsidP="0058706E">
            <w:pPr>
              <w:jc w:val="center"/>
              <w:rPr>
                <w:rFonts w:cs="Calibri"/>
                <w:sz w:val="22"/>
                <w:szCs w:val="22"/>
              </w:rPr>
            </w:pPr>
          </w:p>
        </w:tc>
        <w:tc>
          <w:tcPr>
            <w:tcW w:w="1700" w:type="dxa"/>
            <w:vAlign w:val="center"/>
          </w:tcPr>
          <w:p w14:paraId="37EE408A" w14:textId="77777777" w:rsidR="00580B3B" w:rsidRDefault="00580B3B" w:rsidP="0058706E">
            <w:pPr>
              <w:jc w:val="center"/>
              <w:rPr>
                <w:rFonts w:cs="Calibri"/>
                <w:sz w:val="22"/>
                <w:szCs w:val="22"/>
              </w:rPr>
            </w:pPr>
            <w:r>
              <w:rPr>
                <w:rFonts w:cs="Calibri"/>
                <w:sz w:val="22"/>
                <w:szCs w:val="22"/>
              </w:rPr>
              <w:t>2026-2027</w:t>
            </w:r>
          </w:p>
        </w:tc>
        <w:tc>
          <w:tcPr>
            <w:tcW w:w="1554" w:type="dxa"/>
            <w:vMerge/>
            <w:shd w:val="clear" w:color="auto" w:fill="DAE9F7"/>
            <w:vAlign w:val="center"/>
          </w:tcPr>
          <w:p w14:paraId="4A2EBED5" w14:textId="77777777" w:rsidR="00580B3B" w:rsidRDefault="00580B3B" w:rsidP="0058706E">
            <w:pPr>
              <w:jc w:val="center"/>
              <w:rPr>
                <w:rFonts w:cs="Calibri"/>
                <w:sz w:val="22"/>
                <w:szCs w:val="22"/>
              </w:rPr>
            </w:pPr>
          </w:p>
        </w:tc>
        <w:tc>
          <w:tcPr>
            <w:tcW w:w="1765" w:type="dxa"/>
            <w:vAlign w:val="center"/>
          </w:tcPr>
          <w:p w14:paraId="7E5BBCE7"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206AEDB8" w14:textId="77777777" w:rsidR="00580B3B" w:rsidRDefault="00580B3B" w:rsidP="0058706E">
            <w:pPr>
              <w:jc w:val="center"/>
              <w:rPr>
                <w:rFonts w:cs="Calibri"/>
                <w:color w:val="EE0000"/>
                <w:sz w:val="22"/>
                <w:szCs w:val="22"/>
              </w:rPr>
            </w:pPr>
          </w:p>
        </w:tc>
        <w:tc>
          <w:tcPr>
            <w:tcW w:w="1785" w:type="dxa"/>
            <w:vAlign w:val="center"/>
          </w:tcPr>
          <w:p w14:paraId="412E72CD" w14:textId="77777777" w:rsidR="00580B3B" w:rsidRDefault="00580B3B" w:rsidP="0058706E">
            <w:pPr>
              <w:jc w:val="center"/>
              <w:rPr>
                <w:rFonts w:cs="Calibri"/>
                <w:sz w:val="22"/>
                <w:szCs w:val="22"/>
              </w:rPr>
            </w:pPr>
            <w:r>
              <w:rPr>
                <w:rFonts w:cs="Calibri"/>
                <w:sz w:val="22"/>
                <w:szCs w:val="22"/>
              </w:rPr>
              <w:t xml:space="preserve">2029-2030 </w:t>
            </w:r>
          </w:p>
        </w:tc>
        <w:tc>
          <w:tcPr>
            <w:tcW w:w="2588" w:type="dxa"/>
            <w:vAlign w:val="center"/>
          </w:tcPr>
          <w:p w14:paraId="2DF6FCD6"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774E79D3" w14:textId="77777777" w:rsidR="00580B3B" w:rsidRDefault="00580B3B" w:rsidP="0058706E">
            <w:pPr>
              <w:jc w:val="center"/>
              <w:rPr>
                <w:rFonts w:cs="Calibri"/>
                <w:sz w:val="22"/>
                <w:szCs w:val="22"/>
              </w:rPr>
            </w:pPr>
            <w:r>
              <w:rPr>
                <w:rFonts w:cs="Calibri"/>
                <w:sz w:val="22"/>
                <w:szCs w:val="22"/>
              </w:rPr>
              <w:t>2021-2022</w:t>
            </w:r>
          </w:p>
        </w:tc>
      </w:tr>
      <w:tr w:rsidR="00580B3B" w14:paraId="24E93C41" w14:textId="77777777" w:rsidTr="0058706E">
        <w:trPr>
          <w:jc w:val="center"/>
        </w:trPr>
        <w:tc>
          <w:tcPr>
            <w:tcW w:w="1376" w:type="dxa"/>
            <w:tcBorders>
              <w:bottom w:val="single" w:sz="4" w:space="0" w:color="auto"/>
            </w:tcBorders>
            <w:vAlign w:val="center"/>
          </w:tcPr>
          <w:p w14:paraId="7E24DA94" w14:textId="77777777" w:rsidR="00580B3B" w:rsidRDefault="00580B3B" w:rsidP="0058706E">
            <w:pPr>
              <w:jc w:val="center"/>
              <w:rPr>
                <w:rFonts w:cs="Calibri"/>
                <w:sz w:val="22"/>
                <w:szCs w:val="22"/>
              </w:rPr>
            </w:pPr>
            <w:r>
              <w:rPr>
                <w:rFonts w:cs="Calibri"/>
                <w:sz w:val="22"/>
                <w:szCs w:val="22"/>
              </w:rPr>
              <w:t>2020-2021</w:t>
            </w:r>
          </w:p>
        </w:tc>
        <w:tc>
          <w:tcPr>
            <w:tcW w:w="1729" w:type="dxa"/>
            <w:vMerge/>
            <w:shd w:val="clear" w:color="auto" w:fill="FAE2D5"/>
            <w:vAlign w:val="center"/>
          </w:tcPr>
          <w:p w14:paraId="66E25F97" w14:textId="77777777" w:rsidR="00580B3B" w:rsidRDefault="00580B3B" w:rsidP="0058706E">
            <w:pPr>
              <w:jc w:val="center"/>
              <w:rPr>
                <w:rFonts w:cs="Calibri"/>
                <w:sz w:val="22"/>
                <w:szCs w:val="22"/>
              </w:rPr>
            </w:pPr>
          </w:p>
        </w:tc>
        <w:tc>
          <w:tcPr>
            <w:tcW w:w="1700" w:type="dxa"/>
            <w:tcBorders>
              <w:bottom w:val="single" w:sz="4" w:space="0" w:color="auto"/>
            </w:tcBorders>
            <w:vAlign w:val="center"/>
          </w:tcPr>
          <w:p w14:paraId="157A1F91" w14:textId="77777777" w:rsidR="00580B3B" w:rsidRDefault="00580B3B" w:rsidP="0058706E">
            <w:pPr>
              <w:jc w:val="center"/>
              <w:rPr>
                <w:rFonts w:cs="Calibri"/>
                <w:sz w:val="22"/>
                <w:szCs w:val="22"/>
              </w:rPr>
            </w:pPr>
            <w:r>
              <w:rPr>
                <w:rFonts w:cs="Calibri"/>
                <w:sz w:val="22"/>
                <w:szCs w:val="22"/>
              </w:rPr>
              <w:t>2026-2027</w:t>
            </w:r>
          </w:p>
        </w:tc>
        <w:tc>
          <w:tcPr>
            <w:tcW w:w="1554" w:type="dxa"/>
            <w:vMerge/>
            <w:shd w:val="clear" w:color="auto" w:fill="DAE9F7"/>
            <w:vAlign w:val="center"/>
          </w:tcPr>
          <w:p w14:paraId="0919ACE2" w14:textId="77777777" w:rsidR="00580B3B" w:rsidRDefault="00580B3B" w:rsidP="0058706E">
            <w:pPr>
              <w:jc w:val="center"/>
              <w:rPr>
                <w:rFonts w:cs="Calibri"/>
                <w:sz w:val="22"/>
                <w:szCs w:val="22"/>
              </w:rPr>
            </w:pPr>
          </w:p>
        </w:tc>
        <w:tc>
          <w:tcPr>
            <w:tcW w:w="1765" w:type="dxa"/>
            <w:vAlign w:val="center"/>
          </w:tcPr>
          <w:p w14:paraId="390A1E36"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5435DBBA" w14:textId="77777777" w:rsidR="00580B3B" w:rsidRDefault="00580B3B" w:rsidP="0058706E">
            <w:pPr>
              <w:jc w:val="center"/>
              <w:rPr>
                <w:rFonts w:cs="Calibri"/>
                <w:color w:val="EE0000"/>
                <w:sz w:val="22"/>
                <w:szCs w:val="22"/>
              </w:rPr>
            </w:pPr>
          </w:p>
        </w:tc>
        <w:tc>
          <w:tcPr>
            <w:tcW w:w="1785" w:type="dxa"/>
            <w:vAlign w:val="center"/>
          </w:tcPr>
          <w:p w14:paraId="313B4DCE" w14:textId="77777777" w:rsidR="00580B3B" w:rsidRDefault="00580B3B" w:rsidP="0058706E">
            <w:pPr>
              <w:jc w:val="center"/>
              <w:rPr>
                <w:rFonts w:cs="Calibri"/>
                <w:sz w:val="22"/>
                <w:szCs w:val="22"/>
              </w:rPr>
            </w:pPr>
            <w:r>
              <w:rPr>
                <w:rFonts w:cs="Calibri"/>
                <w:sz w:val="22"/>
                <w:szCs w:val="22"/>
              </w:rPr>
              <w:t>2029-2030</w:t>
            </w:r>
          </w:p>
        </w:tc>
        <w:tc>
          <w:tcPr>
            <w:tcW w:w="2588" w:type="dxa"/>
            <w:vAlign w:val="center"/>
          </w:tcPr>
          <w:p w14:paraId="4B24AC81"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58FAB471" w14:textId="77777777" w:rsidR="00580B3B" w:rsidRDefault="00580B3B" w:rsidP="0058706E">
            <w:pPr>
              <w:jc w:val="center"/>
              <w:rPr>
                <w:rFonts w:cs="Calibri"/>
                <w:sz w:val="22"/>
                <w:szCs w:val="22"/>
              </w:rPr>
            </w:pPr>
            <w:r>
              <w:rPr>
                <w:rFonts w:cs="Calibri"/>
                <w:sz w:val="22"/>
                <w:szCs w:val="22"/>
              </w:rPr>
              <w:t>2021-2022</w:t>
            </w:r>
          </w:p>
        </w:tc>
      </w:tr>
      <w:tr w:rsidR="00580B3B" w14:paraId="5D61669C" w14:textId="77777777" w:rsidTr="0058706E">
        <w:trPr>
          <w:jc w:val="center"/>
        </w:trPr>
        <w:tc>
          <w:tcPr>
            <w:tcW w:w="1376" w:type="dxa"/>
            <w:tcBorders>
              <w:left w:val="single" w:sz="2" w:space="0" w:color="auto"/>
              <w:bottom w:val="single" w:sz="4" w:space="0" w:color="auto"/>
            </w:tcBorders>
            <w:vAlign w:val="center"/>
          </w:tcPr>
          <w:p w14:paraId="22B93DFE" w14:textId="77777777" w:rsidR="00580B3B" w:rsidRDefault="00580B3B" w:rsidP="0058706E">
            <w:pPr>
              <w:jc w:val="center"/>
              <w:rPr>
                <w:rFonts w:cs="Calibri"/>
                <w:sz w:val="22"/>
                <w:szCs w:val="22"/>
              </w:rPr>
            </w:pPr>
            <w:r>
              <w:rPr>
                <w:rFonts w:cs="Calibri"/>
                <w:sz w:val="22"/>
                <w:szCs w:val="22"/>
              </w:rPr>
              <w:t>2019-2020</w:t>
            </w:r>
          </w:p>
        </w:tc>
        <w:tc>
          <w:tcPr>
            <w:tcW w:w="1729" w:type="dxa"/>
            <w:vMerge/>
            <w:shd w:val="clear" w:color="auto" w:fill="FAE2D5"/>
            <w:vAlign w:val="center"/>
          </w:tcPr>
          <w:p w14:paraId="378BEB7A" w14:textId="77777777" w:rsidR="00580B3B" w:rsidRDefault="00580B3B" w:rsidP="0058706E">
            <w:pPr>
              <w:jc w:val="center"/>
              <w:rPr>
                <w:rFonts w:cs="Calibri"/>
                <w:sz w:val="22"/>
                <w:szCs w:val="22"/>
              </w:rPr>
            </w:pPr>
          </w:p>
        </w:tc>
        <w:tc>
          <w:tcPr>
            <w:tcW w:w="1700" w:type="dxa"/>
            <w:tcBorders>
              <w:bottom w:val="single" w:sz="4" w:space="0" w:color="auto"/>
            </w:tcBorders>
            <w:vAlign w:val="center"/>
          </w:tcPr>
          <w:p w14:paraId="0DD575A0" w14:textId="77777777" w:rsidR="00580B3B" w:rsidRDefault="00580B3B" w:rsidP="0058706E">
            <w:pPr>
              <w:jc w:val="center"/>
              <w:rPr>
                <w:rFonts w:cs="Calibri"/>
                <w:sz w:val="22"/>
                <w:szCs w:val="22"/>
              </w:rPr>
            </w:pPr>
            <w:r>
              <w:rPr>
                <w:rFonts w:cs="Calibri"/>
                <w:sz w:val="22"/>
                <w:szCs w:val="22"/>
              </w:rPr>
              <w:t>2026-2027</w:t>
            </w:r>
          </w:p>
        </w:tc>
        <w:tc>
          <w:tcPr>
            <w:tcW w:w="1554" w:type="dxa"/>
            <w:vMerge/>
            <w:shd w:val="clear" w:color="auto" w:fill="DAE9F7"/>
            <w:vAlign w:val="center"/>
          </w:tcPr>
          <w:p w14:paraId="510E277B" w14:textId="77777777" w:rsidR="00580B3B" w:rsidRDefault="00580B3B" w:rsidP="0058706E">
            <w:pPr>
              <w:jc w:val="center"/>
              <w:rPr>
                <w:rFonts w:cs="Calibri"/>
                <w:sz w:val="22"/>
                <w:szCs w:val="22"/>
              </w:rPr>
            </w:pPr>
          </w:p>
        </w:tc>
        <w:tc>
          <w:tcPr>
            <w:tcW w:w="1765" w:type="dxa"/>
            <w:vAlign w:val="center"/>
          </w:tcPr>
          <w:p w14:paraId="270D87E8"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4D238A2D" w14:textId="77777777" w:rsidR="00580B3B" w:rsidRDefault="00580B3B" w:rsidP="0058706E">
            <w:pPr>
              <w:jc w:val="center"/>
              <w:rPr>
                <w:rFonts w:cs="Calibri"/>
                <w:color w:val="EE0000"/>
                <w:sz w:val="22"/>
                <w:szCs w:val="22"/>
              </w:rPr>
            </w:pPr>
          </w:p>
        </w:tc>
        <w:tc>
          <w:tcPr>
            <w:tcW w:w="1785" w:type="dxa"/>
            <w:vAlign w:val="center"/>
          </w:tcPr>
          <w:p w14:paraId="6778B158" w14:textId="77777777" w:rsidR="00580B3B" w:rsidRDefault="00580B3B" w:rsidP="0058706E">
            <w:pPr>
              <w:jc w:val="center"/>
              <w:rPr>
                <w:rFonts w:cs="Calibri"/>
                <w:sz w:val="22"/>
                <w:szCs w:val="22"/>
              </w:rPr>
            </w:pPr>
            <w:r>
              <w:rPr>
                <w:rFonts w:cs="Calibri"/>
                <w:sz w:val="22"/>
                <w:szCs w:val="22"/>
              </w:rPr>
              <w:t>2029-2030</w:t>
            </w:r>
          </w:p>
        </w:tc>
        <w:tc>
          <w:tcPr>
            <w:tcW w:w="2588" w:type="dxa"/>
            <w:vAlign w:val="center"/>
          </w:tcPr>
          <w:p w14:paraId="1C38645F"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3A6F5D77" w14:textId="77777777" w:rsidR="00580B3B" w:rsidRDefault="00580B3B" w:rsidP="0058706E">
            <w:pPr>
              <w:jc w:val="center"/>
              <w:rPr>
                <w:rFonts w:cs="Calibri"/>
                <w:sz w:val="22"/>
                <w:szCs w:val="22"/>
              </w:rPr>
            </w:pPr>
            <w:r>
              <w:rPr>
                <w:rFonts w:cs="Calibri"/>
                <w:sz w:val="22"/>
                <w:szCs w:val="22"/>
              </w:rPr>
              <w:t>2021-2022</w:t>
            </w:r>
          </w:p>
        </w:tc>
      </w:tr>
      <w:tr w:rsidR="00580B3B" w14:paraId="298A9DCA" w14:textId="77777777" w:rsidTr="0058706E">
        <w:trPr>
          <w:jc w:val="center"/>
        </w:trPr>
        <w:tc>
          <w:tcPr>
            <w:tcW w:w="1376" w:type="dxa"/>
            <w:tcBorders>
              <w:top w:val="single" w:sz="4" w:space="0" w:color="auto"/>
              <w:left w:val="single" w:sz="4" w:space="0" w:color="auto"/>
              <w:bottom w:val="single" w:sz="4" w:space="0" w:color="auto"/>
            </w:tcBorders>
            <w:vAlign w:val="center"/>
          </w:tcPr>
          <w:p w14:paraId="7CAA5A57" w14:textId="77777777" w:rsidR="00580B3B" w:rsidRDefault="00580B3B" w:rsidP="0058706E">
            <w:pPr>
              <w:jc w:val="center"/>
              <w:rPr>
                <w:rFonts w:cs="Calibri"/>
                <w:sz w:val="22"/>
                <w:szCs w:val="22"/>
              </w:rPr>
            </w:pPr>
            <w:r>
              <w:rPr>
                <w:rFonts w:cs="Calibri"/>
                <w:sz w:val="22"/>
                <w:szCs w:val="22"/>
              </w:rPr>
              <w:t>2018-2019</w:t>
            </w:r>
          </w:p>
        </w:tc>
        <w:tc>
          <w:tcPr>
            <w:tcW w:w="1729" w:type="dxa"/>
            <w:vMerge/>
            <w:shd w:val="clear" w:color="auto" w:fill="FAE2D5"/>
            <w:vAlign w:val="center"/>
          </w:tcPr>
          <w:p w14:paraId="2E58BC7C" w14:textId="77777777" w:rsidR="00580B3B" w:rsidRDefault="00580B3B" w:rsidP="0058706E">
            <w:pPr>
              <w:jc w:val="center"/>
              <w:rPr>
                <w:rFonts w:cs="Calibri"/>
                <w:sz w:val="22"/>
                <w:szCs w:val="22"/>
              </w:rPr>
            </w:pPr>
          </w:p>
        </w:tc>
        <w:tc>
          <w:tcPr>
            <w:tcW w:w="1700" w:type="dxa"/>
            <w:tcBorders>
              <w:top w:val="single" w:sz="4" w:space="0" w:color="auto"/>
              <w:bottom w:val="single" w:sz="4" w:space="0" w:color="auto"/>
            </w:tcBorders>
            <w:vAlign w:val="center"/>
          </w:tcPr>
          <w:p w14:paraId="1D43A4B6" w14:textId="77777777" w:rsidR="00580B3B" w:rsidRDefault="00580B3B" w:rsidP="0058706E">
            <w:pPr>
              <w:jc w:val="center"/>
              <w:rPr>
                <w:rFonts w:cs="Calibri"/>
                <w:sz w:val="22"/>
                <w:szCs w:val="22"/>
              </w:rPr>
            </w:pPr>
            <w:r>
              <w:rPr>
                <w:rFonts w:cs="Calibri"/>
                <w:sz w:val="22"/>
                <w:szCs w:val="22"/>
              </w:rPr>
              <w:t>2026-2027</w:t>
            </w:r>
          </w:p>
        </w:tc>
        <w:tc>
          <w:tcPr>
            <w:tcW w:w="1554" w:type="dxa"/>
            <w:vMerge/>
            <w:shd w:val="clear" w:color="auto" w:fill="DAE9F7"/>
            <w:vAlign w:val="center"/>
          </w:tcPr>
          <w:p w14:paraId="47128E6B" w14:textId="77777777" w:rsidR="00580B3B" w:rsidRDefault="00580B3B" w:rsidP="0058706E">
            <w:pPr>
              <w:jc w:val="center"/>
              <w:rPr>
                <w:rFonts w:cs="Calibri"/>
                <w:sz w:val="22"/>
                <w:szCs w:val="22"/>
              </w:rPr>
            </w:pPr>
          </w:p>
        </w:tc>
        <w:tc>
          <w:tcPr>
            <w:tcW w:w="1765" w:type="dxa"/>
            <w:tcBorders>
              <w:bottom w:val="single" w:sz="4" w:space="0" w:color="auto"/>
            </w:tcBorders>
            <w:vAlign w:val="center"/>
          </w:tcPr>
          <w:p w14:paraId="2DEE7078"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2F5D7E04" w14:textId="77777777" w:rsidR="00580B3B" w:rsidRDefault="00580B3B" w:rsidP="0058706E">
            <w:pPr>
              <w:jc w:val="center"/>
              <w:rPr>
                <w:rFonts w:cs="Calibri"/>
                <w:color w:val="EE0000"/>
                <w:sz w:val="22"/>
                <w:szCs w:val="22"/>
              </w:rPr>
            </w:pPr>
          </w:p>
        </w:tc>
        <w:tc>
          <w:tcPr>
            <w:tcW w:w="1785" w:type="dxa"/>
            <w:tcBorders>
              <w:bottom w:val="single" w:sz="4" w:space="0" w:color="auto"/>
            </w:tcBorders>
            <w:vAlign w:val="center"/>
          </w:tcPr>
          <w:p w14:paraId="30B831CD" w14:textId="77777777" w:rsidR="00580B3B" w:rsidRDefault="00580B3B" w:rsidP="0058706E">
            <w:pPr>
              <w:jc w:val="center"/>
              <w:rPr>
                <w:rFonts w:cs="Calibri"/>
                <w:sz w:val="22"/>
                <w:szCs w:val="22"/>
              </w:rPr>
            </w:pPr>
            <w:r>
              <w:rPr>
                <w:rFonts w:cs="Calibri"/>
                <w:sz w:val="22"/>
                <w:szCs w:val="22"/>
              </w:rPr>
              <w:t>2029-2030</w:t>
            </w:r>
          </w:p>
        </w:tc>
        <w:tc>
          <w:tcPr>
            <w:tcW w:w="2588" w:type="dxa"/>
            <w:tcBorders>
              <w:bottom w:val="single" w:sz="4" w:space="0" w:color="auto"/>
            </w:tcBorders>
            <w:vAlign w:val="center"/>
          </w:tcPr>
          <w:p w14:paraId="255B50DA" w14:textId="77777777" w:rsidR="00580B3B" w:rsidRDefault="00580B3B" w:rsidP="0058706E">
            <w:pPr>
              <w:jc w:val="center"/>
              <w:rPr>
                <w:rFonts w:cs="Calibri"/>
                <w:sz w:val="22"/>
                <w:szCs w:val="22"/>
              </w:rPr>
            </w:pPr>
            <w:r>
              <w:rPr>
                <w:rFonts w:cs="Calibri"/>
                <w:sz w:val="22"/>
                <w:szCs w:val="22"/>
              </w:rPr>
              <w:t xml:space="preserve">άρθρο 454 ν. 4957/2022, παρ. 3 (μεταβατική </w:t>
            </w:r>
            <w:r>
              <w:rPr>
                <w:rFonts w:cs="Calibri"/>
                <w:sz w:val="22"/>
                <w:szCs w:val="22"/>
              </w:rPr>
              <w:lastRenderedPageBreak/>
              <w:t>διάταξη) και έναρξη ισχύος ν. 4777/2021</w:t>
            </w:r>
          </w:p>
        </w:tc>
        <w:tc>
          <w:tcPr>
            <w:tcW w:w="1554" w:type="dxa"/>
            <w:vAlign w:val="center"/>
          </w:tcPr>
          <w:p w14:paraId="3B398AB2" w14:textId="77777777" w:rsidR="00580B3B" w:rsidRDefault="00580B3B" w:rsidP="0058706E">
            <w:pPr>
              <w:jc w:val="center"/>
              <w:rPr>
                <w:rFonts w:cs="Calibri"/>
                <w:sz w:val="22"/>
                <w:szCs w:val="22"/>
              </w:rPr>
            </w:pPr>
            <w:r>
              <w:rPr>
                <w:rFonts w:cs="Calibri"/>
                <w:sz w:val="22"/>
                <w:szCs w:val="22"/>
              </w:rPr>
              <w:lastRenderedPageBreak/>
              <w:t>2021-2022</w:t>
            </w:r>
          </w:p>
        </w:tc>
      </w:tr>
      <w:tr w:rsidR="00580B3B" w14:paraId="60BF3339" w14:textId="77777777" w:rsidTr="0058706E">
        <w:trPr>
          <w:jc w:val="center"/>
        </w:trPr>
        <w:tc>
          <w:tcPr>
            <w:tcW w:w="1376" w:type="dxa"/>
            <w:tcBorders>
              <w:top w:val="single" w:sz="4" w:space="0" w:color="auto"/>
              <w:bottom w:val="single" w:sz="4" w:space="0" w:color="auto"/>
            </w:tcBorders>
            <w:vAlign w:val="center"/>
          </w:tcPr>
          <w:p w14:paraId="45D42107" w14:textId="77777777" w:rsidR="00580B3B" w:rsidRDefault="00580B3B" w:rsidP="0058706E">
            <w:pPr>
              <w:jc w:val="center"/>
              <w:rPr>
                <w:rFonts w:cs="Calibri"/>
                <w:sz w:val="22"/>
                <w:szCs w:val="22"/>
              </w:rPr>
            </w:pPr>
            <w:r>
              <w:rPr>
                <w:rFonts w:cs="Calibri"/>
                <w:sz w:val="22"/>
                <w:szCs w:val="22"/>
              </w:rPr>
              <w:t>2017-2018</w:t>
            </w:r>
          </w:p>
        </w:tc>
        <w:tc>
          <w:tcPr>
            <w:tcW w:w="1729" w:type="dxa"/>
            <w:vMerge/>
            <w:tcBorders>
              <w:bottom w:val="single" w:sz="4" w:space="0" w:color="auto"/>
            </w:tcBorders>
            <w:shd w:val="clear" w:color="auto" w:fill="FAE2D5"/>
            <w:vAlign w:val="center"/>
          </w:tcPr>
          <w:p w14:paraId="7603F0CB" w14:textId="77777777" w:rsidR="00580B3B" w:rsidRDefault="00580B3B" w:rsidP="0058706E">
            <w:pPr>
              <w:jc w:val="center"/>
              <w:rPr>
                <w:rFonts w:cs="Calibri"/>
                <w:sz w:val="22"/>
                <w:szCs w:val="22"/>
              </w:rPr>
            </w:pPr>
          </w:p>
        </w:tc>
        <w:tc>
          <w:tcPr>
            <w:tcW w:w="1700" w:type="dxa"/>
            <w:tcBorders>
              <w:top w:val="single" w:sz="4" w:space="0" w:color="auto"/>
              <w:bottom w:val="single" w:sz="4" w:space="0" w:color="auto"/>
            </w:tcBorders>
            <w:vAlign w:val="center"/>
          </w:tcPr>
          <w:p w14:paraId="10398121" w14:textId="77777777" w:rsidR="00580B3B" w:rsidRDefault="00580B3B" w:rsidP="0058706E">
            <w:pPr>
              <w:jc w:val="center"/>
              <w:rPr>
                <w:rFonts w:cs="Calibri"/>
                <w:sz w:val="22"/>
                <w:szCs w:val="22"/>
              </w:rPr>
            </w:pPr>
            <w:r>
              <w:rPr>
                <w:rFonts w:cs="Calibri"/>
                <w:sz w:val="22"/>
                <w:szCs w:val="22"/>
              </w:rPr>
              <w:t>2026-2027</w:t>
            </w:r>
          </w:p>
        </w:tc>
        <w:tc>
          <w:tcPr>
            <w:tcW w:w="1554" w:type="dxa"/>
            <w:vMerge/>
            <w:shd w:val="clear" w:color="auto" w:fill="DAE9F7"/>
            <w:vAlign w:val="center"/>
          </w:tcPr>
          <w:p w14:paraId="091B7954" w14:textId="77777777" w:rsidR="00580B3B" w:rsidRDefault="00580B3B" w:rsidP="0058706E">
            <w:pPr>
              <w:jc w:val="center"/>
              <w:rPr>
                <w:rFonts w:cs="Calibri"/>
                <w:sz w:val="22"/>
                <w:szCs w:val="22"/>
              </w:rPr>
            </w:pPr>
          </w:p>
        </w:tc>
        <w:tc>
          <w:tcPr>
            <w:tcW w:w="1765" w:type="dxa"/>
            <w:tcBorders>
              <w:bottom w:val="single" w:sz="4" w:space="0" w:color="auto"/>
            </w:tcBorders>
            <w:vAlign w:val="center"/>
          </w:tcPr>
          <w:p w14:paraId="7E0A30AD"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67FA60A5" w14:textId="77777777" w:rsidR="00580B3B" w:rsidRDefault="00580B3B" w:rsidP="0058706E">
            <w:pPr>
              <w:jc w:val="center"/>
              <w:rPr>
                <w:rFonts w:cs="Calibri"/>
                <w:sz w:val="22"/>
                <w:szCs w:val="22"/>
              </w:rPr>
            </w:pPr>
          </w:p>
        </w:tc>
        <w:tc>
          <w:tcPr>
            <w:tcW w:w="1785" w:type="dxa"/>
            <w:tcBorders>
              <w:bottom w:val="single" w:sz="4" w:space="0" w:color="auto"/>
            </w:tcBorders>
            <w:vAlign w:val="center"/>
          </w:tcPr>
          <w:p w14:paraId="0B5A8744" w14:textId="77777777" w:rsidR="00580B3B" w:rsidRDefault="00580B3B" w:rsidP="0058706E">
            <w:pPr>
              <w:jc w:val="center"/>
              <w:rPr>
                <w:rFonts w:cs="Calibri"/>
                <w:sz w:val="22"/>
                <w:szCs w:val="22"/>
              </w:rPr>
            </w:pPr>
            <w:r>
              <w:rPr>
                <w:rFonts w:cs="Calibri"/>
                <w:sz w:val="22"/>
                <w:szCs w:val="22"/>
              </w:rPr>
              <w:t>2029-2030</w:t>
            </w:r>
          </w:p>
        </w:tc>
        <w:tc>
          <w:tcPr>
            <w:tcW w:w="2588" w:type="dxa"/>
            <w:tcBorders>
              <w:bottom w:val="single" w:sz="4" w:space="0" w:color="auto"/>
            </w:tcBorders>
            <w:vAlign w:val="center"/>
          </w:tcPr>
          <w:p w14:paraId="2B03EFB4"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510FA87A" w14:textId="77777777" w:rsidR="00580B3B" w:rsidRDefault="00580B3B" w:rsidP="0058706E">
            <w:pPr>
              <w:jc w:val="center"/>
              <w:rPr>
                <w:rFonts w:cs="Calibri"/>
                <w:sz w:val="22"/>
                <w:szCs w:val="22"/>
              </w:rPr>
            </w:pPr>
            <w:r>
              <w:rPr>
                <w:rFonts w:cs="Calibri"/>
                <w:sz w:val="22"/>
                <w:szCs w:val="22"/>
              </w:rPr>
              <w:t>2021-2022</w:t>
            </w:r>
          </w:p>
        </w:tc>
      </w:tr>
      <w:tr w:rsidR="00580B3B" w14:paraId="43D615D1" w14:textId="77777777" w:rsidTr="0058706E">
        <w:trPr>
          <w:jc w:val="center"/>
        </w:trPr>
        <w:tc>
          <w:tcPr>
            <w:tcW w:w="1376" w:type="dxa"/>
            <w:tcBorders>
              <w:top w:val="single" w:sz="4" w:space="0" w:color="auto"/>
            </w:tcBorders>
            <w:vAlign w:val="center"/>
          </w:tcPr>
          <w:p w14:paraId="221D08EC" w14:textId="77777777" w:rsidR="00580B3B" w:rsidRDefault="00580B3B" w:rsidP="0058706E">
            <w:pPr>
              <w:jc w:val="center"/>
              <w:rPr>
                <w:rFonts w:cs="Calibri"/>
                <w:sz w:val="22"/>
                <w:szCs w:val="22"/>
              </w:rPr>
            </w:pPr>
            <w:r>
              <w:rPr>
                <w:rFonts w:cs="Calibri"/>
                <w:sz w:val="22"/>
                <w:szCs w:val="22"/>
              </w:rPr>
              <w:t>2016-2017</w:t>
            </w:r>
          </w:p>
        </w:tc>
        <w:tc>
          <w:tcPr>
            <w:tcW w:w="1729" w:type="dxa"/>
            <w:vMerge w:val="restart"/>
            <w:tcBorders>
              <w:top w:val="single" w:sz="4" w:space="0" w:color="auto"/>
            </w:tcBorders>
            <w:textDirection w:val="btLr"/>
            <w:vAlign w:val="center"/>
          </w:tcPr>
          <w:p w14:paraId="4EEBF8D6" w14:textId="77777777" w:rsidR="00580B3B" w:rsidRDefault="00580B3B" w:rsidP="0058706E">
            <w:pPr>
              <w:ind w:left="113" w:right="113"/>
              <w:jc w:val="center"/>
              <w:rPr>
                <w:rFonts w:cs="Calibri"/>
                <w:sz w:val="22"/>
                <w:szCs w:val="22"/>
              </w:rPr>
            </w:pPr>
            <w:r>
              <w:rPr>
                <w:rFonts w:cs="Calibri"/>
                <w:sz w:val="22"/>
                <w:szCs w:val="22"/>
              </w:rPr>
              <w:t xml:space="preserve">ν=4 επιπλέον έτη, από την έναρξη του </w:t>
            </w:r>
            <w:proofErr w:type="spellStart"/>
            <w:r>
              <w:rPr>
                <w:rFonts w:cs="Calibri"/>
                <w:sz w:val="22"/>
                <w:szCs w:val="22"/>
              </w:rPr>
              <w:t>ακαδ</w:t>
            </w:r>
            <w:proofErr w:type="spellEnd"/>
            <w:r>
              <w:rPr>
                <w:rFonts w:cs="Calibri"/>
                <w:sz w:val="22"/>
                <w:szCs w:val="22"/>
              </w:rPr>
              <w:t>. έτους 2021-2022</w:t>
            </w:r>
          </w:p>
          <w:p w14:paraId="4DB5FEEF" w14:textId="77777777" w:rsidR="00580B3B" w:rsidRDefault="00580B3B" w:rsidP="0058706E">
            <w:pPr>
              <w:ind w:left="113" w:right="113"/>
              <w:jc w:val="center"/>
              <w:rPr>
                <w:rFonts w:cs="Calibri"/>
                <w:sz w:val="22"/>
                <w:szCs w:val="22"/>
              </w:rPr>
            </w:pPr>
          </w:p>
        </w:tc>
        <w:tc>
          <w:tcPr>
            <w:tcW w:w="1700" w:type="dxa"/>
            <w:tcBorders>
              <w:top w:val="single" w:sz="4" w:space="0" w:color="auto"/>
            </w:tcBorders>
            <w:vAlign w:val="center"/>
          </w:tcPr>
          <w:p w14:paraId="5A0204D1" w14:textId="77777777" w:rsidR="00580B3B" w:rsidRDefault="00580B3B" w:rsidP="0058706E">
            <w:pPr>
              <w:jc w:val="center"/>
              <w:rPr>
                <w:rFonts w:cs="Calibri"/>
                <w:sz w:val="22"/>
                <w:szCs w:val="22"/>
              </w:rPr>
            </w:pPr>
            <w:r>
              <w:rPr>
                <w:rFonts w:cs="Calibri"/>
                <w:sz w:val="22"/>
                <w:szCs w:val="22"/>
              </w:rPr>
              <w:t>2024-2025</w:t>
            </w:r>
          </w:p>
        </w:tc>
        <w:tc>
          <w:tcPr>
            <w:tcW w:w="1554" w:type="dxa"/>
            <w:vMerge/>
            <w:tcBorders>
              <w:bottom w:val="single" w:sz="4" w:space="0" w:color="auto"/>
            </w:tcBorders>
            <w:shd w:val="clear" w:color="auto" w:fill="DAE9F7"/>
            <w:vAlign w:val="center"/>
          </w:tcPr>
          <w:p w14:paraId="1A7FB8A5" w14:textId="77777777" w:rsidR="00580B3B" w:rsidRDefault="00580B3B" w:rsidP="0058706E">
            <w:pPr>
              <w:jc w:val="center"/>
              <w:rPr>
                <w:rFonts w:cs="Calibri"/>
                <w:sz w:val="22"/>
                <w:szCs w:val="22"/>
              </w:rPr>
            </w:pPr>
          </w:p>
        </w:tc>
        <w:tc>
          <w:tcPr>
            <w:tcW w:w="1765" w:type="dxa"/>
            <w:tcBorders>
              <w:top w:val="single" w:sz="4" w:space="0" w:color="auto"/>
              <w:bottom w:val="single" w:sz="4" w:space="0" w:color="auto"/>
            </w:tcBorders>
            <w:vAlign w:val="center"/>
          </w:tcPr>
          <w:p w14:paraId="30DB48F1" w14:textId="77777777" w:rsidR="00580B3B" w:rsidRDefault="00580B3B" w:rsidP="0058706E">
            <w:pPr>
              <w:jc w:val="center"/>
              <w:rPr>
                <w:rFonts w:cs="Calibri"/>
                <w:sz w:val="22"/>
                <w:szCs w:val="22"/>
              </w:rPr>
            </w:pPr>
            <w:r>
              <w:rPr>
                <w:rFonts w:cs="Calibri"/>
                <w:sz w:val="22"/>
                <w:szCs w:val="22"/>
              </w:rPr>
              <w:t>2028-2029</w:t>
            </w:r>
          </w:p>
        </w:tc>
        <w:tc>
          <w:tcPr>
            <w:tcW w:w="1533" w:type="dxa"/>
            <w:vMerge/>
            <w:shd w:val="clear" w:color="auto" w:fill="E5D4FE"/>
            <w:vAlign w:val="center"/>
          </w:tcPr>
          <w:p w14:paraId="678A0576" w14:textId="77777777" w:rsidR="00580B3B" w:rsidRDefault="00580B3B" w:rsidP="0058706E">
            <w:pPr>
              <w:jc w:val="center"/>
              <w:rPr>
                <w:rFonts w:cs="Calibri"/>
                <w:sz w:val="22"/>
                <w:szCs w:val="22"/>
              </w:rPr>
            </w:pPr>
          </w:p>
        </w:tc>
        <w:tc>
          <w:tcPr>
            <w:tcW w:w="1785" w:type="dxa"/>
            <w:tcBorders>
              <w:top w:val="single" w:sz="4" w:space="0" w:color="auto"/>
              <w:bottom w:val="single" w:sz="4" w:space="0" w:color="auto"/>
              <w:right w:val="single" w:sz="4" w:space="0" w:color="auto"/>
            </w:tcBorders>
            <w:vAlign w:val="center"/>
          </w:tcPr>
          <w:p w14:paraId="35007DBF" w14:textId="77777777" w:rsidR="00580B3B" w:rsidRDefault="00580B3B" w:rsidP="0058706E">
            <w:pPr>
              <w:jc w:val="center"/>
              <w:rPr>
                <w:rFonts w:cs="Calibri"/>
                <w:sz w:val="22"/>
                <w:szCs w:val="22"/>
              </w:rPr>
            </w:pPr>
            <w:r>
              <w:rPr>
                <w:rFonts w:cs="Calibri"/>
                <w:sz w:val="22"/>
                <w:szCs w:val="22"/>
              </w:rPr>
              <w:t>2029-2030</w:t>
            </w:r>
          </w:p>
        </w:tc>
        <w:tc>
          <w:tcPr>
            <w:tcW w:w="2588" w:type="dxa"/>
            <w:tcBorders>
              <w:top w:val="single" w:sz="4" w:space="0" w:color="auto"/>
              <w:left w:val="single" w:sz="4" w:space="0" w:color="auto"/>
              <w:bottom w:val="single" w:sz="4" w:space="0" w:color="auto"/>
            </w:tcBorders>
            <w:vAlign w:val="center"/>
          </w:tcPr>
          <w:p w14:paraId="6EE4E838"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5EAD9265" w14:textId="77777777" w:rsidR="00580B3B" w:rsidRDefault="00580B3B" w:rsidP="0058706E">
            <w:pPr>
              <w:jc w:val="center"/>
              <w:rPr>
                <w:rFonts w:cs="Calibri"/>
                <w:sz w:val="22"/>
                <w:szCs w:val="22"/>
              </w:rPr>
            </w:pPr>
            <w:r>
              <w:rPr>
                <w:rFonts w:cs="Calibri"/>
                <w:sz w:val="22"/>
                <w:szCs w:val="22"/>
              </w:rPr>
              <w:t>2021-2022</w:t>
            </w:r>
          </w:p>
        </w:tc>
      </w:tr>
      <w:tr w:rsidR="00580B3B" w14:paraId="1F24B868" w14:textId="77777777" w:rsidTr="0058706E">
        <w:trPr>
          <w:jc w:val="center"/>
        </w:trPr>
        <w:tc>
          <w:tcPr>
            <w:tcW w:w="1376" w:type="dxa"/>
            <w:vAlign w:val="center"/>
          </w:tcPr>
          <w:p w14:paraId="070FC6B3" w14:textId="77777777" w:rsidR="00580B3B" w:rsidRDefault="00580B3B" w:rsidP="0058706E">
            <w:pPr>
              <w:jc w:val="center"/>
              <w:rPr>
                <w:rFonts w:cs="Calibri"/>
                <w:sz w:val="22"/>
                <w:szCs w:val="22"/>
              </w:rPr>
            </w:pPr>
            <w:r>
              <w:rPr>
                <w:rFonts w:cs="Calibri"/>
                <w:sz w:val="22"/>
                <w:szCs w:val="22"/>
              </w:rPr>
              <w:t>2015-2016</w:t>
            </w:r>
          </w:p>
        </w:tc>
        <w:tc>
          <w:tcPr>
            <w:tcW w:w="1729" w:type="dxa"/>
            <w:vMerge/>
            <w:vAlign w:val="center"/>
          </w:tcPr>
          <w:p w14:paraId="0346775B" w14:textId="77777777" w:rsidR="00580B3B" w:rsidRDefault="00580B3B" w:rsidP="0058706E">
            <w:pPr>
              <w:jc w:val="center"/>
              <w:rPr>
                <w:rFonts w:cs="Calibri"/>
                <w:sz w:val="22"/>
                <w:szCs w:val="22"/>
              </w:rPr>
            </w:pPr>
          </w:p>
        </w:tc>
        <w:tc>
          <w:tcPr>
            <w:tcW w:w="1700" w:type="dxa"/>
            <w:vAlign w:val="center"/>
          </w:tcPr>
          <w:p w14:paraId="415D859F" w14:textId="77777777" w:rsidR="00580B3B" w:rsidRDefault="00580B3B" w:rsidP="0058706E">
            <w:pPr>
              <w:jc w:val="center"/>
              <w:rPr>
                <w:rFonts w:cs="Calibri"/>
                <w:sz w:val="22"/>
                <w:szCs w:val="22"/>
              </w:rPr>
            </w:pPr>
            <w:r>
              <w:rPr>
                <w:rFonts w:cs="Calibri"/>
                <w:sz w:val="22"/>
                <w:szCs w:val="22"/>
              </w:rPr>
              <w:t>2024-2025</w:t>
            </w:r>
          </w:p>
        </w:tc>
        <w:tc>
          <w:tcPr>
            <w:tcW w:w="1554" w:type="dxa"/>
            <w:tcBorders>
              <w:top w:val="single" w:sz="4" w:space="0" w:color="auto"/>
              <w:right w:val="single" w:sz="4" w:space="0" w:color="auto"/>
            </w:tcBorders>
            <w:vAlign w:val="center"/>
          </w:tcPr>
          <w:p w14:paraId="3BDBFB02" w14:textId="77777777" w:rsidR="00580B3B" w:rsidRDefault="00580B3B" w:rsidP="0058706E">
            <w:pPr>
              <w:jc w:val="center"/>
              <w:rPr>
                <w:rFonts w:cs="Calibri"/>
                <w:sz w:val="22"/>
                <w:szCs w:val="22"/>
              </w:rPr>
            </w:pPr>
            <w:r>
              <w:rPr>
                <w:rFonts w:cs="Calibri"/>
                <w:sz w:val="22"/>
                <w:szCs w:val="22"/>
              </w:rPr>
              <w:t xml:space="preserve">ν=5 επιπλέον έτη, από την έναρξη του </w:t>
            </w:r>
            <w:proofErr w:type="spellStart"/>
            <w:r>
              <w:rPr>
                <w:rFonts w:cs="Calibri"/>
                <w:sz w:val="22"/>
                <w:szCs w:val="22"/>
              </w:rPr>
              <w:t>ακαδ</w:t>
            </w:r>
            <w:proofErr w:type="spellEnd"/>
            <w:r>
              <w:rPr>
                <w:rFonts w:cs="Calibri"/>
                <w:sz w:val="22"/>
                <w:szCs w:val="22"/>
              </w:rPr>
              <w:t>. έτους 2021-2022</w:t>
            </w:r>
          </w:p>
        </w:tc>
        <w:tc>
          <w:tcPr>
            <w:tcW w:w="1765" w:type="dxa"/>
            <w:tcBorders>
              <w:top w:val="single" w:sz="4" w:space="0" w:color="auto"/>
              <w:left w:val="single" w:sz="4" w:space="0" w:color="auto"/>
              <w:bottom w:val="single" w:sz="4" w:space="0" w:color="auto"/>
            </w:tcBorders>
            <w:vAlign w:val="center"/>
          </w:tcPr>
          <w:p w14:paraId="013948D5" w14:textId="77777777" w:rsidR="00580B3B" w:rsidRDefault="00580B3B" w:rsidP="0058706E">
            <w:pPr>
              <w:jc w:val="center"/>
              <w:rPr>
                <w:rFonts w:cs="Calibri"/>
                <w:sz w:val="22"/>
                <w:szCs w:val="22"/>
              </w:rPr>
            </w:pPr>
            <w:r>
              <w:rPr>
                <w:rFonts w:cs="Calibri"/>
                <w:sz w:val="22"/>
                <w:szCs w:val="22"/>
              </w:rPr>
              <w:t>2025-2026</w:t>
            </w:r>
          </w:p>
        </w:tc>
        <w:tc>
          <w:tcPr>
            <w:tcW w:w="1533" w:type="dxa"/>
            <w:vMerge/>
            <w:tcBorders>
              <w:bottom w:val="single" w:sz="4" w:space="0" w:color="auto"/>
            </w:tcBorders>
            <w:shd w:val="clear" w:color="auto" w:fill="E5D4FE"/>
            <w:vAlign w:val="center"/>
          </w:tcPr>
          <w:p w14:paraId="0DABC356" w14:textId="77777777" w:rsidR="00580B3B" w:rsidRDefault="00580B3B" w:rsidP="0058706E">
            <w:pPr>
              <w:jc w:val="center"/>
              <w:rPr>
                <w:rFonts w:cs="Calibri"/>
                <w:sz w:val="22"/>
                <w:szCs w:val="22"/>
              </w:rPr>
            </w:pPr>
          </w:p>
        </w:tc>
        <w:tc>
          <w:tcPr>
            <w:tcW w:w="1785" w:type="dxa"/>
            <w:tcBorders>
              <w:top w:val="single" w:sz="4" w:space="0" w:color="auto"/>
              <w:bottom w:val="single" w:sz="4" w:space="0" w:color="auto"/>
              <w:right w:val="single" w:sz="4" w:space="0" w:color="auto"/>
            </w:tcBorders>
            <w:vAlign w:val="center"/>
          </w:tcPr>
          <w:p w14:paraId="11717750" w14:textId="77777777" w:rsidR="00580B3B" w:rsidRDefault="00580B3B" w:rsidP="0058706E">
            <w:pPr>
              <w:jc w:val="center"/>
              <w:rPr>
                <w:rFonts w:cs="Calibri"/>
                <w:sz w:val="22"/>
                <w:szCs w:val="22"/>
              </w:rPr>
            </w:pPr>
            <w:r>
              <w:rPr>
                <w:rFonts w:cs="Calibri"/>
                <w:sz w:val="22"/>
                <w:szCs w:val="22"/>
              </w:rPr>
              <w:t>2029-2030</w:t>
            </w:r>
          </w:p>
        </w:tc>
        <w:tc>
          <w:tcPr>
            <w:tcW w:w="2588" w:type="dxa"/>
            <w:tcBorders>
              <w:top w:val="single" w:sz="4" w:space="0" w:color="auto"/>
              <w:left w:val="single" w:sz="4" w:space="0" w:color="auto"/>
            </w:tcBorders>
            <w:vAlign w:val="center"/>
          </w:tcPr>
          <w:p w14:paraId="48FAF877"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5F1AB87F" w14:textId="77777777" w:rsidR="00580B3B" w:rsidRDefault="00580B3B" w:rsidP="0058706E">
            <w:pPr>
              <w:jc w:val="center"/>
              <w:rPr>
                <w:rFonts w:cs="Calibri"/>
                <w:sz w:val="22"/>
                <w:szCs w:val="22"/>
              </w:rPr>
            </w:pPr>
            <w:r>
              <w:rPr>
                <w:rFonts w:cs="Calibri"/>
                <w:sz w:val="22"/>
                <w:szCs w:val="22"/>
              </w:rPr>
              <w:t>2021-2022</w:t>
            </w:r>
          </w:p>
        </w:tc>
      </w:tr>
      <w:tr w:rsidR="00580B3B" w14:paraId="72CC0223" w14:textId="77777777" w:rsidTr="0058706E">
        <w:trPr>
          <w:jc w:val="center"/>
        </w:trPr>
        <w:tc>
          <w:tcPr>
            <w:tcW w:w="1376" w:type="dxa"/>
            <w:vAlign w:val="center"/>
          </w:tcPr>
          <w:p w14:paraId="5EC32035" w14:textId="77777777" w:rsidR="00580B3B" w:rsidRDefault="00580B3B" w:rsidP="0058706E">
            <w:pPr>
              <w:jc w:val="center"/>
              <w:rPr>
                <w:rFonts w:cs="Calibri"/>
                <w:sz w:val="22"/>
                <w:szCs w:val="22"/>
              </w:rPr>
            </w:pPr>
            <w:r>
              <w:rPr>
                <w:rFonts w:cs="Calibri"/>
                <w:sz w:val="22"/>
                <w:szCs w:val="22"/>
              </w:rPr>
              <w:t>2014-2015</w:t>
            </w:r>
          </w:p>
        </w:tc>
        <w:tc>
          <w:tcPr>
            <w:tcW w:w="1729" w:type="dxa"/>
            <w:vMerge/>
            <w:vAlign w:val="center"/>
          </w:tcPr>
          <w:p w14:paraId="7EB77475" w14:textId="77777777" w:rsidR="00580B3B" w:rsidRDefault="00580B3B" w:rsidP="0058706E">
            <w:pPr>
              <w:jc w:val="center"/>
              <w:rPr>
                <w:rFonts w:cs="Calibri"/>
                <w:sz w:val="22"/>
                <w:szCs w:val="22"/>
              </w:rPr>
            </w:pPr>
          </w:p>
        </w:tc>
        <w:tc>
          <w:tcPr>
            <w:tcW w:w="1700" w:type="dxa"/>
            <w:vAlign w:val="center"/>
          </w:tcPr>
          <w:p w14:paraId="5EFB9939" w14:textId="77777777" w:rsidR="00580B3B" w:rsidRDefault="00580B3B" w:rsidP="0058706E">
            <w:pPr>
              <w:jc w:val="center"/>
              <w:rPr>
                <w:rFonts w:cs="Calibri"/>
                <w:sz w:val="22"/>
                <w:szCs w:val="22"/>
              </w:rPr>
            </w:pPr>
            <w:r>
              <w:rPr>
                <w:rFonts w:cs="Calibri"/>
                <w:sz w:val="22"/>
                <w:szCs w:val="22"/>
              </w:rPr>
              <w:t>2024-2025</w:t>
            </w:r>
          </w:p>
        </w:tc>
        <w:tc>
          <w:tcPr>
            <w:tcW w:w="1554" w:type="dxa"/>
            <w:tcBorders>
              <w:right w:val="single" w:sz="4" w:space="0" w:color="auto"/>
            </w:tcBorders>
            <w:vAlign w:val="center"/>
          </w:tcPr>
          <w:p w14:paraId="75320F1F" w14:textId="77777777" w:rsidR="00580B3B" w:rsidRDefault="00580B3B" w:rsidP="0058706E">
            <w:pPr>
              <w:jc w:val="center"/>
              <w:rPr>
                <w:rFonts w:cs="Calibri"/>
                <w:sz w:val="22"/>
                <w:szCs w:val="22"/>
              </w:rPr>
            </w:pPr>
            <w:r>
              <w:rPr>
                <w:rFonts w:cs="Calibri"/>
                <w:sz w:val="22"/>
                <w:szCs w:val="22"/>
              </w:rPr>
              <w:t xml:space="preserve">ν=5 επιπλέον έτη, από την έναρξη του </w:t>
            </w:r>
            <w:proofErr w:type="spellStart"/>
            <w:r>
              <w:rPr>
                <w:rFonts w:cs="Calibri"/>
                <w:sz w:val="22"/>
                <w:szCs w:val="22"/>
              </w:rPr>
              <w:t>ακαδ</w:t>
            </w:r>
            <w:proofErr w:type="spellEnd"/>
            <w:r>
              <w:rPr>
                <w:rFonts w:cs="Calibri"/>
                <w:sz w:val="22"/>
                <w:szCs w:val="22"/>
              </w:rPr>
              <w:t>. έτους 2021-2022</w:t>
            </w:r>
          </w:p>
        </w:tc>
        <w:tc>
          <w:tcPr>
            <w:tcW w:w="1765" w:type="dxa"/>
            <w:tcBorders>
              <w:top w:val="single" w:sz="4" w:space="0" w:color="auto"/>
              <w:left w:val="single" w:sz="4" w:space="0" w:color="auto"/>
              <w:bottom w:val="single" w:sz="4" w:space="0" w:color="auto"/>
              <w:right w:val="single" w:sz="4" w:space="0" w:color="auto"/>
            </w:tcBorders>
            <w:vAlign w:val="center"/>
          </w:tcPr>
          <w:p w14:paraId="1C7B1C4A" w14:textId="77777777" w:rsidR="00580B3B" w:rsidRDefault="00580B3B" w:rsidP="0058706E">
            <w:pPr>
              <w:jc w:val="center"/>
              <w:rPr>
                <w:rFonts w:cs="Calibri"/>
                <w:sz w:val="22"/>
                <w:szCs w:val="22"/>
              </w:rPr>
            </w:pPr>
            <w:r>
              <w:rPr>
                <w:rFonts w:cs="Calibri"/>
                <w:sz w:val="22"/>
                <w:szCs w:val="22"/>
              </w:rPr>
              <w:t>2025-2026</w:t>
            </w:r>
          </w:p>
        </w:tc>
        <w:tc>
          <w:tcPr>
            <w:tcW w:w="1533" w:type="dxa"/>
            <w:tcBorders>
              <w:top w:val="single" w:sz="4" w:space="0" w:color="auto"/>
              <w:left w:val="single" w:sz="4" w:space="0" w:color="auto"/>
              <w:bottom w:val="single" w:sz="4" w:space="0" w:color="auto"/>
              <w:right w:val="single" w:sz="4" w:space="0" w:color="auto"/>
            </w:tcBorders>
            <w:vAlign w:val="center"/>
          </w:tcPr>
          <w:p w14:paraId="39F8F875" w14:textId="77777777" w:rsidR="00580B3B" w:rsidRDefault="00580B3B" w:rsidP="0058706E">
            <w:pPr>
              <w:jc w:val="center"/>
              <w:rPr>
                <w:rFonts w:cs="Calibri"/>
                <w:sz w:val="22"/>
                <w:szCs w:val="22"/>
              </w:rPr>
            </w:pPr>
            <w:r>
              <w:rPr>
                <w:rFonts w:cs="Calibri"/>
                <w:sz w:val="22"/>
                <w:szCs w:val="22"/>
              </w:rPr>
              <w:t xml:space="preserve">ν=6 επιπλέον έτη, από την έναρξη του </w:t>
            </w:r>
            <w:proofErr w:type="spellStart"/>
            <w:r>
              <w:rPr>
                <w:rFonts w:cs="Calibri"/>
                <w:sz w:val="22"/>
                <w:szCs w:val="22"/>
              </w:rPr>
              <w:t>ακαδ</w:t>
            </w:r>
            <w:proofErr w:type="spellEnd"/>
            <w:r>
              <w:rPr>
                <w:rFonts w:cs="Calibri"/>
                <w:sz w:val="22"/>
                <w:szCs w:val="22"/>
              </w:rPr>
              <w:t>. έτους 2021-2022</w:t>
            </w:r>
          </w:p>
        </w:tc>
        <w:tc>
          <w:tcPr>
            <w:tcW w:w="1785" w:type="dxa"/>
            <w:tcBorders>
              <w:top w:val="single" w:sz="4" w:space="0" w:color="auto"/>
              <w:left w:val="single" w:sz="4" w:space="0" w:color="auto"/>
              <w:bottom w:val="single" w:sz="4" w:space="0" w:color="auto"/>
              <w:right w:val="single" w:sz="4" w:space="0" w:color="auto"/>
            </w:tcBorders>
            <w:vAlign w:val="center"/>
          </w:tcPr>
          <w:p w14:paraId="1F60757A" w14:textId="77777777" w:rsidR="00580B3B" w:rsidRDefault="00580B3B" w:rsidP="0058706E">
            <w:pPr>
              <w:jc w:val="center"/>
              <w:rPr>
                <w:rFonts w:cs="Calibri"/>
                <w:sz w:val="22"/>
                <w:szCs w:val="22"/>
              </w:rPr>
            </w:pPr>
            <w:r>
              <w:rPr>
                <w:rFonts w:cs="Calibri"/>
                <w:sz w:val="22"/>
                <w:szCs w:val="22"/>
              </w:rPr>
              <w:t>2026-2027</w:t>
            </w:r>
          </w:p>
        </w:tc>
        <w:tc>
          <w:tcPr>
            <w:tcW w:w="2588" w:type="dxa"/>
            <w:tcBorders>
              <w:left w:val="single" w:sz="4" w:space="0" w:color="auto"/>
            </w:tcBorders>
            <w:vAlign w:val="center"/>
          </w:tcPr>
          <w:p w14:paraId="52877C0C" w14:textId="77777777" w:rsidR="00580B3B" w:rsidRDefault="00580B3B" w:rsidP="0058706E">
            <w:pPr>
              <w:jc w:val="center"/>
              <w:rPr>
                <w:rFonts w:cs="Calibri"/>
                <w:sz w:val="22"/>
                <w:szCs w:val="22"/>
              </w:rPr>
            </w:pPr>
            <w:r>
              <w:rPr>
                <w:rFonts w:cs="Calibri"/>
                <w:sz w:val="22"/>
                <w:szCs w:val="22"/>
              </w:rPr>
              <w:t>άρθρο 454 ν. 4957/2022, παρ. 3 (μεταβατική διάταξη) και έναρξη ισχύος ν. 4777/2021</w:t>
            </w:r>
          </w:p>
        </w:tc>
        <w:tc>
          <w:tcPr>
            <w:tcW w:w="1554" w:type="dxa"/>
            <w:vAlign w:val="center"/>
          </w:tcPr>
          <w:p w14:paraId="32AEB113" w14:textId="77777777" w:rsidR="00580B3B" w:rsidRDefault="00580B3B" w:rsidP="0058706E">
            <w:pPr>
              <w:jc w:val="center"/>
              <w:rPr>
                <w:rFonts w:cs="Calibri"/>
                <w:sz w:val="22"/>
                <w:szCs w:val="22"/>
              </w:rPr>
            </w:pPr>
            <w:r>
              <w:rPr>
                <w:rFonts w:cs="Calibri"/>
                <w:sz w:val="22"/>
                <w:szCs w:val="22"/>
              </w:rPr>
              <w:t>2021-2022</w:t>
            </w:r>
          </w:p>
        </w:tc>
      </w:tr>
    </w:tbl>
    <w:p w14:paraId="177AE98F" w14:textId="77777777" w:rsidR="00580B3B" w:rsidRDefault="00580B3B" w:rsidP="00580B3B">
      <w:pPr>
        <w:rPr>
          <w:rFonts w:cs="Calibri"/>
          <w:sz w:val="22"/>
          <w:szCs w:val="22"/>
        </w:rPr>
      </w:pPr>
    </w:p>
    <w:p w14:paraId="615EDBB4" w14:textId="77777777" w:rsidR="00580B3B" w:rsidRDefault="00580B3B" w:rsidP="00580B3B">
      <w:pPr>
        <w:rPr>
          <w:rFonts w:cs="Calibri"/>
          <w:sz w:val="22"/>
          <w:szCs w:val="22"/>
        </w:rPr>
      </w:pPr>
      <w:r>
        <w:rPr>
          <w:rFonts w:cs="Calibri"/>
          <w:sz w:val="22"/>
          <w:szCs w:val="22"/>
        </w:rPr>
        <w:t>Για τους/τις  φοιτητές/</w:t>
      </w:r>
      <w:proofErr w:type="spellStart"/>
      <w:r>
        <w:rPr>
          <w:rFonts w:cs="Calibri"/>
          <w:sz w:val="22"/>
          <w:szCs w:val="22"/>
        </w:rPr>
        <w:t>τριες</w:t>
      </w:r>
      <w:proofErr w:type="spellEnd"/>
      <w:r>
        <w:rPr>
          <w:rFonts w:cs="Calibri"/>
          <w:sz w:val="22"/>
          <w:szCs w:val="22"/>
        </w:rPr>
        <w:t xml:space="preserve"> με έτος εισαγωγής προγενέστερο του ακαδημαϊκού έτους  2014-2015 υπολογίζεται η ολοκλήρωση της ανώτατης διάρκειας φοίτησης ομοίως, όπως έχει καταγραφεί, με τους/τις εισακτέους/</w:t>
      </w:r>
      <w:proofErr w:type="spellStart"/>
      <w:r>
        <w:rPr>
          <w:rFonts w:cs="Calibri"/>
          <w:sz w:val="22"/>
          <w:szCs w:val="22"/>
        </w:rPr>
        <w:t>ες</w:t>
      </w:r>
      <w:proofErr w:type="spellEnd"/>
      <w:r>
        <w:rPr>
          <w:rFonts w:cs="Calibri"/>
          <w:sz w:val="22"/>
          <w:szCs w:val="22"/>
        </w:rPr>
        <w:t xml:space="preserve"> του ακαδημαϊκού έτους 2014-2015.  </w:t>
      </w:r>
    </w:p>
    <w:p w14:paraId="0F1F708B" w14:textId="627D22CB" w:rsidR="00580B3B" w:rsidRPr="00412945" w:rsidRDefault="00580B3B" w:rsidP="00580B3B">
      <w:pPr>
        <w:rPr>
          <w:rFonts w:cs="Calibri"/>
          <w:color w:val="000000" w:themeColor="text1"/>
          <w:sz w:val="22"/>
          <w:szCs w:val="22"/>
        </w:rPr>
        <w:sectPr w:rsidR="00580B3B" w:rsidRPr="00412945" w:rsidSect="00B12E82">
          <w:pgSz w:w="16838" w:h="11906" w:orient="landscape"/>
          <w:pgMar w:top="720" w:right="720" w:bottom="720" w:left="720" w:header="709" w:footer="709" w:gutter="0"/>
          <w:cols w:space="708"/>
          <w:docGrid w:linePitch="360"/>
        </w:sectPr>
      </w:pPr>
      <w:r w:rsidRPr="00412945">
        <w:rPr>
          <w:rFonts w:cs="Calibri"/>
          <w:color w:val="000000" w:themeColor="text1"/>
          <w:sz w:val="22"/>
          <w:szCs w:val="22"/>
        </w:rPr>
        <w:t>Οι φοιτητές/</w:t>
      </w:r>
      <w:proofErr w:type="spellStart"/>
      <w:r w:rsidRPr="00412945">
        <w:rPr>
          <w:rFonts w:cs="Calibri"/>
          <w:color w:val="000000" w:themeColor="text1"/>
          <w:sz w:val="22"/>
          <w:szCs w:val="22"/>
        </w:rPr>
        <w:t>τριες</w:t>
      </w:r>
      <w:proofErr w:type="spellEnd"/>
      <w:r w:rsidRPr="00412945">
        <w:rPr>
          <w:rFonts w:cs="Calibri"/>
          <w:color w:val="000000" w:themeColor="text1"/>
          <w:sz w:val="22"/>
          <w:szCs w:val="22"/>
        </w:rPr>
        <w:t xml:space="preserve"> που έχουν </w:t>
      </w:r>
      <w:r w:rsidR="00412945" w:rsidRPr="00412945">
        <w:rPr>
          <w:rFonts w:cs="Calibri"/>
          <w:color w:val="000000" w:themeColor="text1"/>
          <w:sz w:val="22"/>
          <w:szCs w:val="22"/>
        </w:rPr>
        <w:t xml:space="preserve">πιστοποιημένη αναπηρία με ποσοστό τουλάχιστον πενήντα τοις εκατό (50%) </w:t>
      </w:r>
      <w:r w:rsidR="00412945" w:rsidRPr="00DF2299">
        <w:rPr>
          <w:rFonts w:cs="Calibri"/>
          <w:color w:val="000000" w:themeColor="text1"/>
          <w:sz w:val="22"/>
          <w:szCs w:val="22"/>
        </w:rPr>
        <w:t xml:space="preserve">ή αντίστοιχη σοβαρή πάθηση εξαιρούνται </w:t>
      </w:r>
      <w:r w:rsidR="00412945" w:rsidRPr="00412945">
        <w:rPr>
          <w:rFonts w:cs="Calibri"/>
          <w:color w:val="000000" w:themeColor="text1"/>
          <w:sz w:val="22"/>
          <w:szCs w:val="22"/>
        </w:rPr>
        <w:t>από τις διατάξεις της παρ. 1 του άρθρου 130 του ν. 5224/2025, δηλαδή δεν διαγράφονται και δεν εμπίπτουν στις διατάξεις του προσδιορισμού ανώτατης διάρκειας φοίτη</w:t>
      </w:r>
      <w:r w:rsidR="00DD5751">
        <w:rPr>
          <w:rFonts w:cs="Calibri"/>
          <w:color w:val="000000" w:themeColor="text1"/>
          <w:sz w:val="22"/>
          <w:szCs w:val="22"/>
        </w:rPr>
        <w:t>σης.</w:t>
      </w:r>
    </w:p>
    <w:p w14:paraId="090EE0A8" w14:textId="77777777" w:rsidR="004D1947" w:rsidRPr="00976413" w:rsidRDefault="004D1947" w:rsidP="00DD5751">
      <w:pPr>
        <w:rPr>
          <w:color w:val="000000" w:themeColor="text1"/>
        </w:rPr>
      </w:pPr>
    </w:p>
    <w:sectPr w:rsidR="004D1947" w:rsidRPr="009764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7851" w14:textId="77777777" w:rsidR="00430488" w:rsidRDefault="00430488">
      <w:pPr>
        <w:spacing w:line="240" w:lineRule="auto"/>
      </w:pPr>
      <w:r>
        <w:separator/>
      </w:r>
    </w:p>
  </w:endnote>
  <w:endnote w:type="continuationSeparator" w:id="0">
    <w:p w14:paraId="70B87F8A" w14:textId="77777777" w:rsidR="00430488" w:rsidRDefault="00430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A1"/>
    <w:family w:val="auto"/>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4A67" w14:textId="77777777" w:rsidR="00D975EA" w:rsidRDefault="00000000">
    <w:pPr>
      <w:pStyle w:val="a3"/>
      <w:jc w:val="right"/>
    </w:pPr>
    <w:r>
      <w:fldChar w:fldCharType="begin"/>
    </w:r>
    <w:r>
      <w:instrText>PAGE   \* MERGEFORMAT</w:instrText>
    </w:r>
    <w:r>
      <w:fldChar w:fldCharType="separate"/>
    </w:r>
    <w:r>
      <w:t>2</w:t>
    </w:r>
    <w:r>
      <w:fldChar w:fldCharType="end"/>
    </w:r>
  </w:p>
  <w:p w14:paraId="188C3D51" w14:textId="77777777" w:rsidR="00D975EA" w:rsidRDefault="00D975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5F48" w14:textId="77777777" w:rsidR="00430488" w:rsidRDefault="00430488">
      <w:pPr>
        <w:spacing w:line="240" w:lineRule="auto"/>
      </w:pPr>
      <w:r>
        <w:separator/>
      </w:r>
    </w:p>
  </w:footnote>
  <w:footnote w:type="continuationSeparator" w:id="0">
    <w:p w14:paraId="2B70E5C6" w14:textId="77777777" w:rsidR="00430488" w:rsidRDefault="004304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097"/>
    <w:multiLevelType w:val="hybridMultilevel"/>
    <w:tmpl w:val="8B7C8E5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3751F8F"/>
    <w:multiLevelType w:val="hybridMultilevel"/>
    <w:tmpl w:val="7444E16C"/>
    <w:lvl w:ilvl="0" w:tplc="7C9CEA4E">
      <w:start w:val="1"/>
      <w:numFmt w:val="lowerRoman"/>
      <w:lvlText w:val="%1)"/>
      <w:lvlJc w:val="left"/>
      <w:pPr>
        <w:ind w:left="1288" w:hanging="72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2" w15:restartNumberingAfterBreak="0">
    <w:nsid w:val="1E4452A6"/>
    <w:multiLevelType w:val="hybridMultilevel"/>
    <w:tmpl w:val="776279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A218B7"/>
    <w:multiLevelType w:val="hybridMultilevel"/>
    <w:tmpl w:val="ABFA1B1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A8524A"/>
    <w:multiLevelType w:val="hybridMultilevel"/>
    <w:tmpl w:val="2C621A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89490B"/>
    <w:multiLevelType w:val="hybridMultilevel"/>
    <w:tmpl w:val="F2B6F1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FFE7C25"/>
    <w:multiLevelType w:val="hybridMultilevel"/>
    <w:tmpl w:val="57945546"/>
    <w:lvl w:ilvl="0" w:tplc="F0187EEC">
      <w:start w:val="1"/>
      <w:numFmt w:val="decimal"/>
      <w:lvlText w:val="%1."/>
      <w:lvlJc w:val="left"/>
      <w:pPr>
        <w:ind w:left="360" w:hanging="360"/>
      </w:pPr>
      <w:rPr>
        <w:rFonts w:ascii="Times New Roman" w:eastAsia="Times New Roman" w:hAnsi="Times New Roman" w:cs="Times New Roman"/>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8C9114D"/>
    <w:multiLevelType w:val="hybridMultilevel"/>
    <w:tmpl w:val="2354AB76"/>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7962296">
    <w:abstractNumId w:val="3"/>
  </w:num>
  <w:num w:numId="2" w16cid:durableId="1843739342">
    <w:abstractNumId w:val="2"/>
  </w:num>
  <w:num w:numId="3" w16cid:durableId="906915489">
    <w:abstractNumId w:val="6"/>
  </w:num>
  <w:num w:numId="4" w16cid:durableId="1610703886">
    <w:abstractNumId w:val="7"/>
  </w:num>
  <w:num w:numId="5" w16cid:durableId="1198667346">
    <w:abstractNumId w:val="4"/>
  </w:num>
  <w:num w:numId="6" w16cid:durableId="1117211468">
    <w:abstractNumId w:val="5"/>
  </w:num>
  <w:num w:numId="7" w16cid:durableId="1909684767">
    <w:abstractNumId w:val="0"/>
  </w:num>
  <w:num w:numId="8" w16cid:durableId="186778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3B"/>
    <w:rsid w:val="00094D00"/>
    <w:rsid w:val="000971B2"/>
    <w:rsid w:val="000E5E06"/>
    <w:rsid w:val="00184FD1"/>
    <w:rsid w:val="00200A9F"/>
    <w:rsid w:val="002465C4"/>
    <w:rsid w:val="00294D78"/>
    <w:rsid w:val="002A41C7"/>
    <w:rsid w:val="003800F7"/>
    <w:rsid w:val="003B1573"/>
    <w:rsid w:val="003F1B34"/>
    <w:rsid w:val="00412945"/>
    <w:rsid w:val="00430488"/>
    <w:rsid w:val="00462648"/>
    <w:rsid w:val="004D1947"/>
    <w:rsid w:val="00573804"/>
    <w:rsid w:val="00580B3B"/>
    <w:rsid w:val="0059069F"/>
    <w:rsid w:val="00590BA2"/>
    <w:rsid w:val="005E4150"/>
    <w:rsid w:val="0061032D"/>
    <w:rsid w:val="00694816"/>
    <w:rsid w:val="006D73D4"/>
    <w:rsid w:val="007122A3"/>
    <w:rsid w:val="0071606F"/>
    <w:rsid w:val="007658BE"/>
    <w:rsid w:val="008115B9"/>
    <w:rsid w:val="00860AF7"/>
    <w:rsid w:val="00863DE8"/>
    <w:rsid w:val="00881A20"/>
    <w:rsid w:val="008B46D1"/>
    <w:rsid w:val="00921C7A"/>
    <w:rsid w:val="00976413"/>
    <w:rsid w:val="009A519F"/>
    <w:rsid w:val="009B00D9"/>
    <w:rsid w:val="009C4D63"/>
    <w:rsid w:val="00A012FF"/>
    <w:rsid w:val="00A12912"/>
    <w:rsid w:val="00A513D0"/>
    <w:rsid w:val="00B27FCD"/>
    <w:rsid w:val="00B5305F"/>
    <w:rsid w:val="00B76697"/>
    <w:rsid w:val="00C24BFB"/>
    <w:rsid w:val="00C414F5"/>
    <w:rsid w:val="00C55360"/>
    <w:rsid w:val="00D12C84"/>
    <w:rsid w:val="00D72C78"/>
    <w:rsid w:val="00D975EA"/>
    <w:rsid w:val="00DD5751"/>
    <w:rsid w:val="00DF2299"/>
    <w:rsid w:val="00E53473"/>
    <w:rsid w:val="00F3416A"/>
    <w:rsid w:val="00F3550E"/>
    <w:rsid w:val="00F55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0727"/>
  <w15:chartTrackingRefBased/>
  <w15:docId w15:val="{33983F2D-E66C-EE49-B842-9626C9FE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B3B"/>
    <w:pPr>
      <w:suppressAutoHyphens/>
      <w:spacing w:line="100" w:lineRule="atLeast"/>
      <w:textAlignment w:val="baseline"/>
    </w:pPr>
    <w:rPr>
      <w:rFonts w:ascii="Calibri" w:eastAsia="Arial Unicode MS" w:hAnsi="Calibri" w:cs="F"/>
      <w:kern w:val="1"/>
      <w:lang w:eastAsia="ar-SA"/>
    </w:rPr>
  </w:style>
  <w:style w:type="paragraph" w:styleId="3">
    <w:name w:val="heading 3"/>
    <w:basedOn w:val="a"/>
    <w:next w:val="a"/>
    <w:link w:val="3Char"/>
    <w:uiPriority w:val="9"/>
    <w:semiHidden/>
    <w:unhideWhenUsed/>
    <w:qFormat/>
    <w:rsid w:val="009C4D63"/>
    <w:pPr>
      <w:keepNext/>
      <w:keepLines/>
      <w:spacing w:before="160" w:after="80"/>
      <w:outlineLvl w:val="2"/>
    </w:pPr>
    <w:rPr>
      <w:rFonts w:eastAsiaTheme="majorEastAsia"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80B3B"/>
    <w:pPr>
      <w:tabs>
        <w:tab w:val="center" w:pos="4153"/>
        <w:tab w:val="right" w:pos="8306"/>
      </w:tabs>
    </w:pPr>
    <w:rPr>
      <w:rFonts w:cs="Times New Roman"/>
      <w:lang w:val="x-none"/>
    </w:rPr>
  </w:style>
  <w:style w:type="character" w:customStyle="1" w:styleId="Char">
    <w:name w:val="Υποσέλιδο Char"/>
    <w:basedOn w:val="a0"/>
    <w:link w:val="a3"/>
    <w:uiPriority w:val="99"/>
    <w:rsid w:val="00580B3B"/>
    <w:rPr>
      <w:rFonts w:ascii="Calibri" w:eastAsia="Arial Unicode MS" w:hAnsi="Calibri" w:cs="Times New Roman"/>
      <w:kern w:val="1"/>
      <w:lang w:val="x-none" w:eastAsia="ar-SA"/>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580B3B"/>
    <w:pPr>
      <w:suppressAutoHyphens w:val="0"/>
      <w:spacing w:after="200" w:line="276" w:lineRule="auto"/>
      <w:ind w:left="720"/>
      <w:textAlignment w:val="auto"/>
    </w:pPr>
    <w:rPr>
      <w:rFonts w:eastAsia="Times New Roman" w:cs="Calibri"/>
      <w:kern w:val="0"/>
      <w:sz w:val="22"/>
      <w:szCs w:val="22"/>
      <w:lang w:eastAsia="en-US"/>
    </w:r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locked/>
    <w:rsid w:val="00580B3B"/>
    <w:rPr>
      <w:rFonts w:ascii="Calibri" w:eastAsia="Times New Roman" w:hAnsi="Calibri" w:cs="Calibri"/>
      <w:sz w:val="22"/>
      <w:szCs w:val="22"/>
      <w:lang w:val="el-GR"/>
    </w:rPr>
  </w:style>
  <w:style w:type="character" w:customStyle="1" w:styleId="3Char">
    <w:name w:val="Επικεφαλίδα 3 Char"/>
    <w:basedOn w:val="a0"/>
    <w:link w:val="3"/>
    <w:uiPriority w:val="9"/>
    <w:semiHidden/>
    <w:rsid w:val="009C4D63"/>
    <w:rPr>
      <w:rFonts w:ascii="Calibri" w:eastAsiaTheme="majorEastAsia" w:hAnsi="Calibri" w:cstheme="majorBidi"/>
      <w:color w:val="2F5496" w:themeColor="accent1" w:themeShade="BF"/>
      <w:kern w:val="1"/>
      <w:sz w:val="28"/>
      <w:szCs w:val="28"/>
      <w:lang w:val="el-GR" w:eastAsia="ar-SA"/>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Char1"/>
    <w:uiPriority w:val="99"/>
    <w:unhideWhenUsed/>
    <w:rsid w:val="009C4D63"/>
    <w:pPr>
      <w:spacing w:line="240" w:lineRule="auto"/>
    </w:pPr>
    <w:rPr>
      <w:sz w:val="20"/>
      <w:szCs w:val="20"/>
    </w:rPr>
  </w:style>
  <w:style w:type="character" w:customStyle="1" w:styleId="Char1">
    <w:name w:val="Κείμενο σχολίου Char"/>
    <w:basedOn w:val="a0"/>
    <w:link w:val="a6"/>
    <w:uiPriority w:val="99"/>
    <w:rsid w:val="009C4D63"/>
    <w:rPr>
      <w:rFonts w:ascii="Calibri" w:eastAsia="Arial Unicode MS" w:hAnsi="Calibri" w:cs="F"/>
      <w:kern w:val="1"/>
      <w:sz w:val="20"/>
      <w:szCs w:val="20"/>
      <w:lang w:val="el-GR" w:eastAsia="ar-SA"/>
    </w:rPr>
  </w:style>
  <w:style w:type="paragraph" w:styleId="Web">
    <w:name w:val="Normal (Web)"/>
    <w:basedOn w:val="a"/>
    <w:uiPriority w:val="99"/>
    <w:unhideWhenUsed/>
    <w:rsid w:val="00C55360"/>
    <w:pPr>
      <w:suppressAutoHyphens w:val="0"/>
      <w:spacing w:before="100" w:beforeAutospacing="1" w:after="100" w:afterAutospacing="1" w:line="240" w:lineRule="auto"/>
      <w:textAlignment w:val="auto"/>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0589">
      <w:bodyDiv w:val="1"/>
      <w:marLeft w:val="0"/>
      <w:marRight w:val="0"/>
      <w:marTop w:val="0"/>
      <w:marBottom w:val="0"/>
      <w:divBdr>
        <w:top w:val="none" w:sz="0" w:space="0" w:color="auto"/>
        <w:left w:val="none" w:sz="0" w:space="0" w:color="auto"/>
        <w:bottom w:val="none" w:sz="0" w:space="0" w:color="auto"/>
        <w:right w:val="none" w:sz="0" w:space="0" w:color="auto"/>
      </w:divBdr>
      <w:divsChild>
        <w:div w:id="127163836">
          <w:marLeft w:val="0"/>
          <w:marRight w:val="0"/>
          <w:marTop w:val="0"/>
          <w:marBottom w:val="0"/>
          <w:divBdr>
            <w:top w:val="none" w:sz="0" w:space="0" w:color="auto"/>
            <w:left w:val="none" w:sz="0" w:space="0" w:color="auto"/>
            <w:bottom w:val="none" w:sz="0" w:space="0" w:color="auto"/>
            <w:right w:val="none" w:sz="0" w:space="0" w:color="auto"/>
          </w:divBdr>
          <w:divsChild>
            <w:div w:id="1314213960">
              <w:marLeft w:val="0"/>
              <w:marRight w:val="0"/>
              <w:marTop w:val="0"/>
              <w:marBottom w:val="0"/>
              <w:divBdr>
                <w:top w:val="none" w:sz="0" w:space="0" w:color="auto"/>
                <w:left w:val="none" w:sz="0" w:space="0" w:color="auto"/>
                <w:bottom w:val="none" w:sz="0" w:space="0" w:color="auto"/>
                <w:right w:val="none" w:sz="0" w:space="0" w:color="auto"/>
              </w:divBdr>
              <w:divsChild>
                <w:div w:id="1538280335">
                  <w:marLeft w:val="0"/>
                  <w:marRight w:val="0"/>
                  <w:marTop w:val="0"/>
                  <w:marBottom w:val="0"/>
                  <w:divBdr>
                    <w:top w:val="none" w:sz="0" w:space="0" w:color="auto"/>
                    <w:left w:val="none" w:sz="0" w:space="0" w:color="auto"/>
                    <w:bottom w:val="none" w:sz="0" w:space="0" w:color="auto"/>
                    <w:right w:val="none" w:sz="0" w:space="0" w:color="auto"/>
                  </w:divBdr>
                  <w:divsChild>
                    <w:div w:id="7367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79318">
      <w:bodyDiv w:val="1"/>
      <w:marLeft w:val="0"/>
      <w:marRight w:val="0"/>
      <w:marTop w:val="0"/>
      <w:marBottom w:val="0"/>
      <w:divBdr>
        <w:top w:val="none" w:sz="0" w:space="0" w:color="auto"/>
        <w:left w:val="none" w:sz="0" w:space="0" w:color="auto"/>
        <w:bottom w:val="none" w:sz="0" w:space="0" w:color="auto"/>
        <w:right w:val="none" w:sz="0" w:space="0" w:color="auto"/>
      </w:divBdr>
      <w:divsChild>
        <w:div w:id="1512334827">
          <w:marLeft w:val="0"/>
          <w:marRight w:val="0"/>
          <w:marTop w:val="0"/>
          <w:marBottom w:val="0"/>
          <w:divBdr>
            <w:top w:val="none" w:sz="0" w:space="0" w:color="auto"/>
            <w:left w:val="none" w:sz="0" w:space="0" w:color="auto"/>
            <w:bottom w:val="none" w:sz="0" w:space="0" w:color="auto"/>
            <w:right w:val="none" w:sz="0" w:space="0" w:color="auto"/>
          </w:divBdr>
          <w:divsChild>
            <w:div w:id="257448919">
              <w:marLeft w:val="0"/>
              <w:marRight w:val="0"/>
              <w:marTop w:val="0"/>
              <w:marBottom w:val="0"/>
              <w:divBdr>
                <w:top w:val="none" w:sz="0" w:space="0" w:color="auto"/>
                <w:left w:val="none" w:sz="0" w:space="0" w:color="auto"/>
                <w:bottom w:val="none" w:sz="0" w:space="0" w:color="auto"/>
                <w:right w:val="none" w:sz="0" w:space="0" w:color="auto"/>
              </w:divBdr>
              <w:divsChild>
                <w:div w:id="1409419488">
                  <w:marLeft w:val="0"/>
                  <w:marRight w:val="0"/>
                  <w:marTop w:val="0"/>
                  <w:marBottom w:val="0"/>
                  <w:divBdr>
                    <w:top w:val="none" w:sz="0" w:space="0" w:color="auto"/>
                    <w:left w:val="none" w:sz="0" w:space="0" w:color="auto"/>
                    <w:bottom w:val="none" w:sz="0" w:space="0" w:color="auto"/>
                    <w:right w:val="none" w:sz="0" w:space="0" w:color="auto"/>
                  </w:divBdr>
                  <w:divsChild>
                    <w:div w:id="18225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3397">
      <w:bodyDiv w:val="1"/>
      <w:marLeft w:val="0"/>
      <w:marRight w:val="0"/>
      <w:marTop w:val="0"/>
      <w:marBottom w:val="0"/>
      <w:divBdr>
        <w:top w:val="none" w:sz="0" w:space="0" w:color="auto"/>
        <w:left w:val="none" w:sz="0" w:space="0" w:color="auto"/>
        <w:bottom w:val="none" w:sz="0" w:space="0" w:color="auto"/>
        <w:right w:val="none" w:sz="0" w:space="0" w:color="auto"/>
      </w:divBdr>
      <w:divsChild>
        <w:div w:id="964310451">
          <w:marLeft w:val="0"/>
          <w:marRight w:val="0"/>
          <w:marTop w:val="0"/>
          <w:marBottom w:val="0"/>
          <w:divBdr>
            <w:top w:val="none" w:sz="0" w:space="0" w:color="auto"/>
            <w:left w:val="none" w:sz="0" w:space="0" w:color="auto"/>
            <w:bottom w:val="none" w:sz="0" w:space="0" w:color="auto"/>
            <w:right w:val="none" w:sz="0" w:space="0" w:color="auto"/>
          </w:divBdr>
          <w:divsChild>
            <w:div w:id="1221287050">
              <w:marLeft w:val="0"/>
              <w:marRight w:val="0"/>
              <w:marTop w:val="0"/>
              <w:marBottom w:val="0"/>
              <w:divBdr>
                <w:top w:val="none" w:sz="0" w:space="0" w:color="auto"/>
                <w:left w:val="none" w:sz="0" w:space="0" w:color="auto"/>
                <w:bottom w:val="none" w:sz="0" w:space="0" w:color="auto"/>
                <w:right w:val="none" w:sz="0" w:space="0" w:color="auto"/>
              </w:divBdr>
              <w:divsChild>
                <w:div w:id="992610984">
                  <w:marLeft w:val="0"/>
                  <w:marRight w:val="0"/>
                  <w:marTop w:val="0"/>
                  <w:marBottom w:val="0"/>
                  <w:divBdr>
                    <w:top w:val="none" w:sz="0" w:space="0" w:color="auto"/>
                    <w:left w:val="none" w:sz="0" w:space="0" w:color="auto"/>
                    <w:bottom w:val="none" w:sz="0" w:space="0" w:color="auto"/>
                    <w:right w:val="none" w:sz="0" w:space="0" w:color="auto"/>
                  </w:divBdr>
                  <w:divsChild>
                    <w:div w:id="7192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5652">
      <w:bodyDiv w:val="1"/>
      <w:marLeft w:val="0"/>
      <w:marRight w:val="0"/>
      <w:marTop w:val="0"/>
      <w:marBottom w:val="0"/>
      <w:divBdr>
        <w:top w:val="none" w:sz="0" w:space="0" w:color="auto"/>
        <w:left w:val="none" w:sz="0" w:space="0" w:color="auto"/>
        <w:bottom w:val="none" w:sz="0" w:space="0" w:color="auto"/>
        <w:right w:val="none" w:sz="0" w:space="0" w:color="auto"/>
      </w:divBdr>
      <w:divsChild>
        <w:div w:id="230430137">
          <w:marLeft w:val="0"/>
          <w:marRight w:val="0"/>
          <w:marTop w:val="0"/>
          <w:marBottom w:val="0"/>
          <w:divBdr>
            <w:top w:val="none" w:sz="0" w:space="0" w:color="auto"/>
            <w:left w:val="none" w:sz="0" w:space="0" w:color="auto"/>
            <w:bottom w:val="none" w:sz="0" w:space="0" w:color="auto"/>
            <w:right w:val="none" w:sz="0" w:space="0" w:color="auto"/>
          </w:divBdr>
          <w:divsChild>
            <w:div w:id="937056349">
              <w:marLeft w:val="0"/>
              <w:marRight w:val="0"/>
              <w:marTop w:val="0"/>
              <w:marBottom w:val="0"/>
              <w:divBdr>
                <w:top w:val="none" w:sz="0" w:space="0" w:color="auto"/>
                <w:left w:val="none" w:sz="0" w:space="0" w:color="auto"/>
                <w:bottom w:val="none" w:sz="0" w:space="0" w:color="auto"/>
                <w:right w:val="none" w:sz="0" w:space="0" w:color="auto"/>
              </w:divBdr>
              <w:divsChild>
                <w:div w:id="689918286">
                  <w:marLeft w:val="0"/>
                  <w:marRight w:val="0"/>
                  <w:marTop w:val="0"/>
                  <w:marBottom w:val="0"/>
                  <w:divBdr>
                    <w:top w:val="none" w:sz="0" w:space="0" w:color="auto"/>
                    <w:left w:val="none" w:sz="0" w:space="0" w:color="auto"/>
                    <w:bottom w:val="none" w:sz="0" w:space="0" w:color="auto"/>
                    <w:right w:val="none" w:sz="0" w:space="0" w:color="auto"/>
                  </w:divBdr>
                  <w:divsChild>
                    <w:div w:id="17060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7675">
          <w:marLeft w:val="0"/>
          <w:marRight w:val="0"/>
          <w:marTop w:val="0"/>
          <w:marBottom w:val="0"/>
          <w:divBdr>
            <w:top w:val="none" w:sz="0" w:space="0" w:color="auto"/>
            <w:left w:val="none" w:sz="0" w:space="0" w:color="auto"/>
            <w:bottom w:val="none" w:sz="0" w:space="0" w:color="auto"/>
            <w:right w:val="none" w:sz="0" w:space="0" w:color="auto"/>
          </w:divBdr>
          <w:divsChild>
            <w:div w:id="1119646033">
              <w:marLeft w:val="0"/>
              <w:marRight w:val="0"/>
              <w:marTop w:val="0"/>
              <w:marBottom w:val="0"/>
              <w:divBdr>
                <w:top w:val="none" w:sz="0" w:space="0" w:color="auto"/>
                <w:left w:val="none" w:sz="0" w:space="0" w:color="auto"/>
                <w:bottom w:val="none" w:sz="0" w:space="0" w:color="auto"/>
                <w:right w:val="none" w:sz="0" w:space="0" w:color="auto"/>
              </w:divBdr>
              <w:divsChild>
                <w:div w:id="77678527">
                  <w:marLeft w:val="0"/>
                  <w:marRight w:val="0"/>
                  <w:marTop w:val="0"/>
                  <w:marBottom w:val="0"/>
                  <w:divBdr>
                    <w:top w:val="none" w:sz="0" w:space="0" w:color="auto"/>
                    <w:left w:val="none" w:sz="0" w:space="0" w:color="auto"/>
                    <w:bottom w:val="none" w:sz="0" w:space="0" w:color="auto"/>
                    <w:right w:val="none" w:sz="0" w:space="0" w:color="auto"/>
                  </w:divBdr>
                  <w:divsChild>
                    <w:div w:id="2047173042">
                      <w:marLeft w:val="0"/>
                      <w:marRight w:val="0"/>
                      <w:marTop w:val="0"/>
                      <w:marBottom w:val="0"/>
                      <w:divBdr>
                        <w:top w:val="none" w:sz="0" w:space="0" w:color="auto"/>
                        <w:left w:val="none" w:sz="0" w:space="0" w:color="auto"/>
                        <w:bottom w:val="none" w:sz="0" w:space="0" w:color="auto"/>
                        <w:right w:val="none" w:sz="0" w:space="0" w:color="auto"/>
                      </w:divBdr>
                    </w:div>
                  </w:divsChild>
                </w:div>
                <w:div w:id="853567747">
                  <w:marLeft w:val="0"/>
                  <w:marRight w:val="0"/>
                  <w:marTop w:val="0"/>
                  <w:marBottom w:val="0"/>
                  <w:divBdr>
                    <w:top w:val="none" w:sz="0" w:space="0" w:color="auto"/>
                    <w:left w:val="none" w:sz="0" w:space="0" w:color="auto"/>
                    <w:bottom w:val="none" w:sz="0" w:space="0" w:color="auto"/>
                    <w:right w:val="none" w:sz="0" w:space="0" w:color="auto"/>
                  </w:divBdr>
                  <w:divsChild>
                    <w:div w:id="884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74086">
      <w:bodyDiv w:val="1"/>
      <w:marLeft w:val="0"/>
      <w:marRight w:val="0"/>
      <w:marTop w:val="0"/>
      <w:marBottom w:val="0"/>
      <w:divBdr>
        <w:top w:val="none" w:sz="0" w:space="0" w:color="auto"/>
        <w:left w:val="none" w:sz="0" w:space="0" w:color="auto"/>
        <w:bottom w:val="none" w:sz="0" w:space="0" w:color="auto"/>
        <w:right w:val="none" w:sz="0" w:space="0" w:color="auto"/>
      </w:divBdr>
      <w:divsChild>
        <w:div w:id="1757903308">
          <w:marLeft w:val="0"/>
          <w:marRight w:val="0"/>
          <w:marTop w:val="0"/>
          <w:marBottom w:val="0"/>
          <w:divBdr>
            <w:top w:val="none" w:sz="0" w:space="0" w:color="auto"/>
            <w:left w:val="none" w:sz="0" w:space="0" w:color="auto"/>
            <w:bottom w:val="none" w:sz="0" w:space="0" w:color="auto"/>
            <w:right w:val="none" w:sz="0" w:space="0" w:color="auto"/>
          </w:divBdr>
          <w:divsChild>
            <w:div w:id="240913381">
              <w:marLeft w:val="0"/>
              <w:marRight w:val="0"/>
              <w:marTop w:val="0"/>
              <w:marBottom w:val="0"/>
              <w:divBdr>
                <w:top w:val="none" w:sz="0" w:space="0" w:color="auto"/>
                <w:left w:val="none" w:sz="0" w:space="0" w:color="auto"/>
                <w:bottom w:val="none" w:sz="0" w:space="0" w:color="auto"/>
                <w:right w:val="none" w:sz="0" w:space="0" w:color="auto"/>
              </w:divBdr>
              <w:divsChild>
                <w:div w:id="1250653493">
                  <w:marLeft w:val="0"/>
                  <w:marRight w:val="0"/>
                  <w:marTop w:val="0"/>
                  <w:marBottom w:val="0"/>
                  <w:divBdr>
                    <w:top w:val="none" w:sz="0" w:space="0" w:color="auto"/>
                    <w:left w:val="none" w:sz="0" w:space="0" w:color="auto"/>
                    <w:bottom w:val="none" w:sz="0" w:space="0" w:color="auto"/>
                    <w:right w:val="none" w:sz="0" w:space="0" w:color="auto"/>
                  </w:divBdr>
                  <w:divsChild>
                    <w:div w:id="7942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3455">
      <w:bodyDiv w:val="1"/>
      <w:marLeft w:val="0"/>
      <w:marRight w:val="0"/>
      <w:marTop w:val="0"/>
      <w:marBottom w:val="0"/>
      <w:divBdr>
        <w:top w:val="none" w:sz="0" w:space="0" w:color="auto"/>
        <w:left w:val="none" w:sz="0" w:space="0" w:color="auto"/>
        <w:bottom w:val="none" w:sz="0" w:space="0" w:color="auto"/>
        <w:right w:val="none" w:sz="0" w:space="0" w:color="auto"/>
      </w:divBdr>
      <w:divsChild>
        <w:div w:id="40055669">
          <w:marLeft w:val="0"/>
          <w:marRight w:val="0"/>
          <w:marTop w:val="0"/>
          <w:marBottom w:val="0"/>
          <w:divBdr>
            <w:top w:val="none" w:sz="0" w:space="0" w:color="auto"/>
            <w:left w:val="none" w:sz="0" w:space="0" w:color="auto"/>
            <w:bottom w:val="none" w:sz="0" w:space="0" w:color="auto"/>
            <w:right w:val="none" w:sz="0" w:space="0" w:color="auto"/>
          </w:divBdr>
          <w:divsChild>
            <w:div w:id="512261689">
              <w:marLeft w:val="0"/>
              <w:marRight w:val="0"/>
              <w:marTop w:val="0"/>
              <w:marBottom w:val="0"/>
              <w:divBdr>
                <w:top w:val="none" w:sz="0" w:space="0" w:color="auto"/>
                <w:left w:val="none" w:sz="0" w:space="0" w:color="auto"/>
                <w:bottom w:val="none" w:sz="0" w:space="0" w:color="auto"/>
                <w:right w:val="none" w:sz="0" w:space="0" w:color="auto"/>
              </w:divBdr>
              <w:divsChild>
                <w:div w:id="1938978798">
                  <w:marLeft w:val="0"/>
                  <w:marRight w:val="0"/>
                  <w:marTop w:val="0"/>
                  <w:marBottom w:val="0"/>
                  <w:divBdr>
                    <w:top w:val="none" w:sz="0" w:space="0" w:color="auto"/>
                    <w:left w:val="none" w:sz="0" w:space="0" w:color="auto"/>
                    <w:bottom w:val="none" w:sz="0" w:space="0" w:color="auto"/>
                    <w:right w:val="none" w:sz="0" w:space="0" w:color="auto"/>
                  </w:divBdr>
                  <w:divsChild>
                    <w:div w:id="1777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48474">
      <w:bodyDiv w:val="1"/>
      <w:marLeft w:val="0"/>
      <w:marRight w:val="0"/>
      <w:marTop w:val="0"/>
      <w:marBottom w:val="0"/>
      <w:divBdr>
        <w:top w:val="none" w:sz="0" w:space="0" w:color="auto"/>
        <w:left w:val="none" w:sz="0" w:space="0" w:color="auto"/>
        <w:bottom w:val="none" w:sz="0" w:space="0" w:color="auto"/>
        <w:right w:val="none" w:sz="0" w:space="0" w:color="auto"/>
      </w:divBdr>
      <w:divsChild>
        <w:div w:id="417334580">
          <w:marLeft w:val="0"/>
          <w:marRight w:val="0"/>
          <w:marTop w:val="0"/>
          <w:marBottom w:val="0"/>
          <w:divBdr>
            <w:top w:val="none" w:sz="0" w:space="0" w:color="auto"/>
            <w:left w:val="none" w:sz="0" w:space="0" w:color="auto"/>
            <w:bottom w:val="none" w:sz="0" w:space="0" w:color="auto"/>
            <w:right w:val="none" w:sz="0" w:space="0" w:color="auto"/>
          </w:divBdr>
          <w:divsChild>
            <w:div w:id="287125735">
              <w:marLeft w:val="0"/>
              <w:marRight w:val="0"/>
              <w:marTop w:val="0"/>
              <w:marBottom w:val="0"/>
              <w:divBdr>
                <w:top w:val="none" w:sz="0" w:space="0" w:color="auto"/>
                <w:left w:val="none" w:sz="0" w:space="0" w:color="auto"/>
                <w:bottom w:val="none" w:sz="0" w:space="0" w:color="auto"/>
                <w:right w:val="none" w:sz="0" w:space="0" w:color="auto"/>
              </w:divBdr>
              <w:divsChild>
                <w:div w:id="398940910">
                  <w:marLeft w:val="0"/>
                  <w:marRight w:val="0"/>
                  <w:marTop w:val="0"/>
                  <w:marBottom w:val="0"/>
                  <w:divBdr>
                    <w:top w:val="none" w:sz="0" w:space="0" w:color="auto"/>
                    <w:left w:val="none" w:sz="0" w:space="0" w:color="auto"/>
                    <w:bottom w:val="none" w:sz="0" w:space="0" w:color="auto"/>
                    <w:right w:val="none" w:sz="0" w:space="0" w:color="auto"/>
                  </w:divBdr>
                  <w:divsChild>
                    <w:div w:id="217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2716">
      <w:bodyDiv w:val="1"/>
      <w:marLeft w:val="0"/>
      <w:marRight w:val="0"/>
      <w:marTop w:val="0"/>
      <w:marBottom w:val="0"/>
      <w:divBdr>
        <w:top w:val="none" w:sz="0" w:space="0" w:color="auto"/>
        <w:left w:val="none" w:sz="0" w:space="0" w:color="auto"/>
        <w:bottom w:val="none" w:sz="0" w:space="0" w:color="auto"/>
        <w:right w:val="none" w:sz="0" w:space="0" w:color="auto"/>
      </w:divBdr>
      <w:divsChild>
        <w:div w:id="1920940808">
          <w:marLeft w:val="0"/>
          <w:marRight w:val="0"/>
          <w:marTop w:val="0"/>
          <w:marBottom w:val="0"/>
          <w:divBdr>
            <w:top w:val="none" w:sz="0" w:space="0" w:color="auto"/>
            <w:left w:val="none" w:sz="0" w:space="0" w:color="auto"/>
            <w:bottom w:val="none" w:sz="0" w:space="0" w:color="auto"/>
            <w:right w:val="none" w:sz="0" w:space="0" w:color="auto"/>
          </w:divBdr>
          <w:divsChild>
            <w:div w:id="1504471113">
              <w:marLeft w:val="0"/>
              <w:marRight w:val="0"/>
              <w:marTop w:val="0"/>
              <w:marBottom w:val="0"/>
              <w:divBdr>
                <w:top w:val="none" w:sz="0" w:space="0" w:color="auto"/>
                <w:left w:val="none" w:sz="0" w:space="0" w:color="auto"/>
                <w:bottom w:val="none" w:sz="0" w:space="0" w:color="auto"/>
                <w:right w:val="none" w:sz="0" w:space="0" w:color="auto"/>
              </w:divBdr>
              <w:divsChild>
                <w:div w:id="1255237541">
                  <w:marLeft w:val="0"/>
                  <w:marRight w:val="0"/>
                  <w:marTop w:val="0"/>
                  <w:marBottom w:val="0"/>
                  <w:divBdr>
                    <w:top w:val="none" w:sz="0" w:space="0" w:color="auto"/>
                    <w:left w:val="none" w:sz="0" w:space="0" w:color="auto"/>
                    <w:bottom w:val="none" w:sz="0" w:space="0" w:color="auto"/>
                    <w:right w:val="none" w:sz="0" w:space="0" w:color="auto"/>
                  </w:divBdr>
                  <w:divsChild>
                    <w:div w:id="8203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746">
      <w:bodyDiv w:val="1"/>
      <w:marLeft w:val="0"/>
      <w:marRight w:val="0"/>
      <w:marTop w:val="0"/>
      <w:marBottom w:val="0"/>
      <w:divBdr>
        <w:top w:val="none" w:sz="0" w:space="0" w:color="auto"/>
        <w:left w:val="none" w:sz="0" w:space="0" w:color="auto"/>
        <w:bottom w:val="none" w:sz="0" w:space="0" w:color="auto"/>
        <w:right w:val="none" w:sz="0" w:space="0" w:color="auto"/>
      </w:divBdr>
      <w:divsChild>
        <w:div w:id="46417309">
          <w:marLeft w:val="0"/>
          <w:marRight w:val="0"/>
          <w:marTop w:val="0"/>
          <w:marBottom w:val="0"/>
          <w:divBdr>
            <w:top w:val="none" w:sz="0" w:space="0" w:color="auto"/>
            <w:left w:val="none" w:sz="0" w:space="0" w:color="auto"/>
            <w:bottom w:val="none" w:sz="0" w:space="0" w:color="auto"/>
            <w:right w:val="none" w:sz="0" w:space="0" w:color="auto"/>
          </w:divBdr>
          <w:divsChild>
            <w:div w:id="519128266">
              <w:marLeft w:val="0"/>
              <w:marRight w:val="0"/>
              <w:marTop w:val="0"/>
              <w:marBottom w:val="0"/>
              <w:divBdr>
                <w:top w:val="none" w:sz="0" w:space="0" w:color="auto"/>
                <w:left w:val="none" w:sz="0" w:space="0" w:color="auto"/>
                <w:bottom w:val="none" w:sz="0" w:space="0" w:color="auto"/>
                <w:right w:val="none" w:sz="0" w:space="0" w:color="auto"/>
              </w:divBdr>
              <w:divsChild>
                <w:div w:id="1477916173">
                  <w:marLeft w:val="0"/>
                  <w:marRight w:val="0"/>
                  <w:marTop w:val="0"/>
                  <w:marBottom w:val="0"/>
                  <w:divBdr>
                    <w:top w:val="none" w:sz="0" w:space="0" w:color="auto"/>
                    <w:left w:val="none" w:sz="0" w:space="0" w:color="auto"/>
                    <w:bottom w:val="none" w:sz="0" w:space="0" w:color="auto"/>
                    <w:right w:val="none" w:sz="0" w:space="0" w:color="auto"/>
                  </w:divBdr>
                  <w:divsChild>
                    <w:div w:id="2000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26229">
      <w:bodyDiv w:val="1"/>
      <w:marLeft w:val="0"/>
      <w:marRight w:val="0"/>
      <w:marTop w:val="0"/>
      <w:marBottom w:val="0"/>
      <w:divBdr>
        <w:top w:val="none" w:sz="0" w:space="0" w:color="auto"/>
        <w:left w:val="none" w:sz="0" w:space="0" w:color="auto"/>
        <w:bottom w:val="none" w:sz="0" w:space="0" w:color="auto"/>
        <w:right w:val="none" w:sz="0" w:space="0" w:color="auto"/>
      </w:divBdr>
      <w:divsChild>
        <w:div w:id="1977640522">
          <w:marLeft w:val="0"/>
          <w:marRight w:val="0"/>
          <w:marTop w:val="0"/>
          <w:marBottom w:val="0"/>
          <w:divBdr>
            <w:top w:val="none" w:sz="0" w:space="0" w:color="auto"/>
            <w:left w:val="none" w:sz="0" w:space="0" w:color="auto"/>
            <w:bottom w:val="none" w:sz="0" w:space="0" w:color="auto"/>
            <w:right w:val="none" w:sz="0" w:space="0" w:color="auto"/>
          </w:divBdr>
          <w:divsChild>
            <w:div w:id="805732280">
              <w:marLeft w:val="0"/>
              <w:marRight w:val="0"/>
              <w:marTop w:val="0"/>
              <w:marBottom w:val="0"/>
              <w:divBdr>
                <w:top w:val="none" w:sz="0" w:space="0" w:color="auto"/>
                <w:left w:val="none" w:sz="0" w:space="0" w:color="auto"/>
                <w:bottom w:val="none" w:sz="0" w:space="0" w:color="auto"/>
                <w:right w:val="none" w:sz="0" w:space="0" w:color="auto"/>
              </w:divBdr>
              <w:divsChild>
                <w:div w:id="325519899">
                  <w:marLeft w:val="0"/>
                  <w:marRight w:val="0"/>
                  <w:marTop w:val="0"/>
                  <w:marBottom w:val="0"/>
                  <w:divBdr>
                    <w:top w:val="none" w:sz="0" w:space="0" w:color="auto"/>
                    <w:left w:val="none" w:sz="0" w:space="0" w:color="auto"/>
                    <w:bottom w:val="none" w:sz="0" w:space="0" w:color="auto"/>
                    <w:right w:val="none" w:sz="0" w:space="0" w:color="auto"/>
                  </w:divBdr>
                  <w:divsChild>
                    <w:div w:id="1700013304">
                      <w:marLeft w:val="0"/>
                      <w:marRight w:val="0"/>
                      <w:marTop w:val="0"/>
                      <w:marBottom w:val="0"/>
                      <w:divBdr>
                        <w:top w:val="none" w:sz="0" w:space="0" w:color="auto"/>
                        <w:left w:val="none" w:sz="0" w:space="0" w:color="auto"/>
                        <w:bottom w:val="none" w:sz="0" w:space="0" w:color="auto"/>
                        <w:right w:val="none" w:sz="0" w:space="0" w:color="auto"/>
                      </w:divBdr>
                    </w:div>
                    <w:div w:id="11649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2562">
      <w:bodyDiv w:val="1"/>
      <w:marLeft w:val="0"/>
      <w:marRight w:val="0"/>
      <w:marTop w:val="0"/>
      <w:marBottom w:val="0"/>
      <w:divBdr>
        <w:top w:val="none" w:sz="0" w:space="0" w:color="auto"/>
        <w:left w:val="none" w:sz="0" w:space="0" w:color="auto"/>
        <w:bottom w:val="none" w:sz="0" w:space="0" w:color="auto"/>
        <w:right w:val="none" w:sz="0" w:space="0" w:color="auto"/>
      </w:divBdr>
      <w:divsChild>
        <w:div w:id="150293151">
          <w:marLeft w:val="0"/>
          <w:marRight w:val="0"/>
          <w:marTop w:val="0"/>
          <w:marBottom w:val="0"/>
          <w:divBdr>
            <w:top w:val="none" w:sz="0" w:space="0" w:color="auto"/>
            <w:left w:val="none" w:sz="0" w:space="0" w:color="auto"/>
            <w:bottom w:val="none" w:sz="0" w:space="0" w:color="auto"/>
            <w:right w:val="none" w:sz="0" w:space="0" w:color="auto"/>
          </w:divBdr>
          <w:divsChild>
            <w:div w:id="972976593">
              <w:marLeft w:val="0"/>
              <w:marRight w:val="0"/>
              <w:marTop w:val="0"/>
              <w:marBottom w:val="0"/>
              <w:divBdr>
                <w:top w:val="none" w:sz="0" w:space="0" w:color="auto"/>
                <w:left w:val="none" w:sz="0" w:space="0" w:color="auto"/>
                <w:bottom w:val="none" w:sz="0" w:space="0" w:color="auto"/>
                <w:right w:val="none" w:sz="0" w:space="0" w:color="auto"/>
              </w:divBdr>
              <w:divsChild>
                <w:div w:id="1448088972">
                  <w:marLeft w:val="0"/>
                  <w:marRight w:val="0"/>
                  <w:marTop w:val="0"/>
                  <w:marBottom w:val="0"/>
                  <w:divBdr>
                    <w:top w:val="none" w:sz="0" w:space="0" w:color="auto"/>
                    <w:left w:val="none" w:sz="0" w:space="0" w:color="auto"/>
                    <w:bottom w:val="none" w:sz="0" w:space="0" w:color="auto"/>
                    <w:right w:val="none" w:sz="0" w:space="0" w:color="auto"/>
                  </w:divBdr>
                  <w:divsChild>
                    <w:div w:id="331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76513">
      <w:bodyDiv w:val="1"/>
      <w:marLeft w:val="0"/>
      <w:marRight w:val="0"/>
      <w:marTop w:val="0"/>
      <w:marBottom w:val="0"/>
      <w:divBdr>
        <w:top w:val="none" w:sz="0" w:space="0" w:color="auto"/>
        <w:left w:val="none" w:sz="0" w:space="0" w:color="auto"/>
        <w:bottom w:val="none" w:sz="0" w:space="0" w:color="auto"/>
        <w:right w:val="none" w:sz="0" w:space="0" w:color="auto"/>
      </w:divBdr>
      <w:divsChild>
        <w:div w:id="1647734960">
          <w:marLeft w:val="0"/>
          <w:marRight w:val="0"/>
          <w:marTop w:val="0"/>
          <w:marBottom w:val="0"/>
          <w:divBdr>
            <w:top w:val="none" w:sz="0" w:space="0" w:color="auto"/>
            <w:left w:val="none" w:sz="0" w:space="0" w:color="auto"/>
            <w:bottom w:val="none" w:sz="0" w:space="0" w:color="auto"/>
            <w:right w:val="none" w:sz="0" w:space="0" w:color="auto"/>
          </w:divBdr>
          <w:divsChild>
            <w:div w:id="1121001126">
              <w:marLeft w:val="0"/>
              <w:marRight w:val="0"/>
              <w:marTop w:val="0"/>
              <w:marBottom w:val="0"/>
              <w:divBdr>
                <w:top w:val="none" w:sz="0" w:space="0" w:color="auto"/>
                <w:left w:val="none" w:sz="0" w:space="0" w:color="auto"/>
                <w:bottom w:val="none" w:sz="0" w:space="0" w:color="auto"/>
                <w:right w:val="none" w:sz="0" w:space="0" w:color="auto"/>
              </w:divBdr>
              <w:divsChild>
                <w:div w:id="1333145625">
                  <w:marLeft w:val="0"/>
                  <w:marRight w:val="0"/>
                  <w:marTop w:val="0"/>
                  <w:marBottom w:val="0"/>
                  <w:divBdr>
                    <w:top w:val="none" w:sz="0" w:space="0" w:color="auto"/>
                    <w:left w:val="none" w:sz="0" w:space="0" w:color="auto"/>
                    <w:bottom w:val="none" w:sz="0" w:space="0" w:color="auto"/>
                    <w:right w:val="none" w:sz="0" w:space="0" w:color="auto"/>
                  </w:divBdr>
                  <w:divsChild>
                    <w:div w:id="15517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686">
      <w:bodyDiv w:val="1"/>
      <w:marLeft w:val="0"/>
      <w:marRight w:val="0"/>
      <w:marTop w:val="0"/>
      <w:marBottom w:val="0"/>
      <w:divBdr>
        <w:top w:val="none" w:sz="0" w:space="0" w:color="auto"/>
        <w:left w:val="none" w:sz="0" w:space="0" w:color="auto"/>
        <w:bottom w:val="none" w:sz="0" w:space="0" w:color="auto"/>
        <w:right w:val="none" w:sz="0" w:space="0" w:color="auto"/>
      </w:divBdr>
      <w:divsChild>
        <w:div w:id="582376960">
          <w:marLeft w:val="0"/>
          <w:marRight w:val="0"/>
          <w:marTop w:val="0"/>
          <w:marBottom w:val="0"/>
          <w:divBdr>
            <w:top w:val="none" w:sz="0" w:space="0" w:color="auto"/>
            <w:left w:val="none" w:sz="0" w:space="0" w:color="auto"/>
            <w:bottom w:val="none" w:sz="0" w:space="0" w:color="auto"/>
            <w:right w:val="none" w:sz="0" w:space="0" w:color="auto"/>
          </w:divBdr>
          <w:divsChild>
            <w:div w:id="1486698928">
              <w:marLeft w:val="0"/>
              <w:marRight w:val="0"/>
              <w:marTop w:val="0"/>
              <w:marBottom w:val="0"/>
              <w:divBdr>
                <w:top w:val="none" w:sz="0" w:space="0" w:color="auto"/>
                <w:left w:val="none" w:sz="0" w:space="0" w:color="auto"/>
                <w:bottom w:val="none" w:sz="0" w:space="0" w:color="auto"/>
                <w:right w:val="none" w:sz="0" w:space="0" w:color="auto"/>
              </w:divBdr>
              <w:divsChild>
                <w:div w:id="2060742192">
                  <w:marLeft w:val="0"/>
                  <w:marRight w:val="0"/>
                  <w:marTop w:val="0"/>
                  <w:marBottom w:val="0"/>
                  <w:divBdr>
                    <w:top w:val="none" w:sz="0" w:space="0" w:color="auto"/>
                    <w:left w:val="none" w:sz="0" w:space="0" w:color="auto"/>
                    <w:bottom w:val="none" w:sz="0" w:space="0" w:color="auto"/>
                    <w:right w:val="none" w:sz="0" w:space="0" w:color="auto"/>
                  </w:divBdr>
                  <w:divsChild>
                    <w:div w:id="1148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89710">
      <w:bodyDiv w:val="1"/>
      <w:marLeft w:val="0"/>
      <w:marRight w:val="0"/>
      <w:marTop w:val="0"/>
      <w:marBottom w:val="0"/>
      <w:divBdr>
        <w:top w:val="none" w:sz="0" w:space="0" w:color="auto"/>
        <w:left w:val="none" w:sz="0" w:space="0" w:color="auto"/>
        <w:bottom w:val="none" w:sz="0" w:space="0" w:color="auto"/>
        <w:right w:val="none" w:sz="0" w:space="0" w:color="auto"/>
      </w:divBdr>
      <w:divsChild>
        <w:div w:id="1703434995">
          <w:marLeft w:val="0"/>
          <w:marRight w:val="0"/>
          <w:marTop w:val="0"/>
          <w:marBottom w:val="0"/>
          <w:divBdr>
            <w:top w:val="none" w:sz="0" w:space="0" w:color="auto"/>
            <w:left w:val="none" w:sz="0" w:space="0" w:color="auto"/>
            <w:bottom w:val="none" w:sz="0" w:space="0" w:color="auto"/>
            <w:right w:val="none" w:sz="0" w:space="0" w:color="auto"/>
          </w:divBdr>
          <w:divsChild>
            <w:div w:id="1874729671">
              <w:marLeft w:val="0"/>
              <w:marRight w:val="0"/>
              <w:marTop w:val="0"/>
              <w:marBottom w:val="0"/>
              <w:divBdr>
                <w:top w:val="none" w:sz="0" w:space="0" w:color="auto"/>
                <w:left w:val="none" w:sz="0" w:space="0" w:color="auto"/>
                <w:bottom w:val="none" w:sz="0" w:space="0" w:color="auto"/>
                <w:right w:val="none" w:sz="0" w:space="0" w:color="auto"/>
              </w:divBdr>
              <w:divsChild>
                <w:div w:id="1820876336">
                  <w:marLeft w:val="0"/>
                  <w:marRight w:val="0"/>
                  <w:marTop w:val="0"/>
                  <w:marBottom w:val="0"/>
                  <w:divBdr>
                    <w:top w:val="none" w:sz="0" w:space="0" w:color="auto"/>
                    <w:left w:val="none" w:sz="0" w:space="0" w:color="auto"/>
                    <w:bottom w:val="none" w:sz="0" w:space="0" w:color="auto"/>
                    <w:right w:val="none" w:sz="0" w:space="0" w:color="auto"/>
                  </w:divBdr>
                  <w:divsChild>
                    <w:div w:id="1253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9145">
      <w:bodyDiv w:val="1"/>
      <w:marLeft w:val="0"/>
      <w:marRight w:val="0"/>
      <w:marTop w:val="0"/>
      <w:marBottom w:val="0"/>
      <w:divBdr>
        <w:top w:val="none" w:sz="0" w:space="0" w:color="auto"/>
        <w:left w:val="none" w:sz="0" w:space="0" w:color="auto"/>
        <w:bottom w:val="none" w:sz="0" w:space="0" w:color="auto"/>
        <w:right w:val="none" w:sz="0" w:space="0" w:color="auto"/>
      </w:divBdr>
      <w:divsChild>
        <w:div w:id="474220827">
          <w:marLeft w:val="0"/>
          <w:marRight w:val="0"/>
          <w:marTop w:val="0"/>
          <w:marBottom w:val="0"/>
          <w:divBdr>
            <w:top w:val="none" w:sz="0" w:space="0" w:color="auto"/>
            <w:left w:val="none" w:sz="0" w:space="0" w:color="auto"/>
            <w:bottom w:val="none" w:sz="0" w:space="0" w:color="auto"/>
            <w:right w:val="none" w:sz="0" w:space="0" w:color="auto"/>
          </w:divBdr>
          <w:divsChild>
            <w:div w:id="329874411">
              <w:marLeft w:val="0"/>
              <w:marRight w:val="0"/>
              <w:marTop w:val="0"/>
              <w:marBottom w:val="0"/>
              <w:divBdr>
                <w:top w:val="none" w:sz="0" w:space="0" w:color="auto"/>
                <w:left w:val="none" w:sz="0" w:space="0" w:color="auto"/>
                <w:bottom w:val="none" w:sz="0" w:space="0" w:color="auto"/>
                <w:right w:val="none" w:sz="0" w:space="0" w:color="auto"/>
              </w:divBdr>
              <w:divsChild>
                <w:div w:id="121383269">
                  <w:marLeft w:val="0"/>
                  <w:marRight w:val="0"/>
                  <w:marTop w:val="0"/>
                  <w:marBottom w:val="0"/>
                  <w:divBdr>
                    <w:top w:val="none" w:sz="0" w:space="0" w:color="auto"/>
                    <w:left w:val="none" w:sz="0" w:space="0" w:color="auto"/>
                    <w:bottom w:val="none" w:sz="0" w:space="0" w:color="auto"/>
                    <w:right w:val="none" w:sz="0" w:space="0" w:color="auto"/>
                  </w:divBdr>
                  <w:divsChild>
                    <w:div w:id="15396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6989">
      <w:bodyDiv w:val="1"/>
      <w:marLeft w:val="0"/>
      <w:marRight w:val="0"/>
      <w:marTop w:val="0"/>
      <w:marBottom w:val="0"/>
      <w:divBdr>
        <w:top w:val="none" w:sz="0" w:space="0" w:color="auto"/>
        <w:left w:val="none" w:sz="0" w:space="0" w:color="auto"/>
        <w:bottom w:val="none" w:sz="0" w:space="0" w:color="auto"/>
        <w:right w:val="none" w:sz="0" w:space="0" w:color="auto"/>
      </w:divBdr>
      <w:divsChild>
        <w:div w:id="1592274722">
          <w:marLeft w:val="0"/>
          <w:marRight w:val="0"/>
          <w:marTop w:val="0"/>
          <w:marBottom w:val="0"/>
          <w:divBdr>
            <w:top w:val="none" w:sz="0" w:space="0" w:color="auto"/>
            <w:left w:val="none" w:sz="0" w:space="0" w:color="auto"/>
            <w:bottom w:val="none" w:sz="0" w:space="0" w:color="auto"/>
            <w:right w:val="none" w:sz="0" w:space="0" w:color="auto"/>
          </w:divBdr>
          <w:divsChild>
            <w:div w:id="1159930394">
              <w:marLeft w:val="0"/>
              <w:marRight w:val="0"/>
              <w:marTop w:val="0"/>
              <w:marBottom w:val="0"/>
              <w:divBdr>
                <w:top w:val="none" w:sz="0" w:space="0" w:color="auto"/>
                <w:left w:val="none" w:sz="0" w:space="0" w:color="auto"/>
                <w:bottom w:val="none" w:sz="0" w:space="0" w:color="auto"/>
                <w:right w:val="none" w:sz="0" w:space="0" w:color="auto"/>
              </w:divBdr>
              <w:divsChild>
                <w:div w:id="2088068839">
                  <w:marLeft w:val="0"/>
                  <w:marRight w:val="0"/>
                  <w:marTop w:val="0"/>
                  <w:marBottom w:val="0"/>
                  <w:divBdr>
                    <w:top w:val="none" w:sz="0" w:space="0" w:color="auto"/>
                    <w:left w:val="none" w:sz="0" w:space="0" w:color="auto"/>
                    <w:bottom w:val="none" w:sz="0" w:space="0" w:color="auto"/>
                    <w:right w:val="none" w:sz="0" w:space="0" w:color="auto"/>
                  </w:divBdr>
                  <w:divsChild>
                    <w:div w:id="11407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86461">
      <w:bodyDiv w:val="1"/>
      <w:marLeft w:val="0"/>
      <w:marRight w:val="0"/>
      <w:marTop w:val="0"/>
      <w:marBottom w:val="0"/>
      <w:divBdr>
        <w:top w:val="none" w:sz="0" w:space="0" w:color="auto"/>
        <w:left w:val="none" w:sz="0" w:space="0" w:color="auto"/>
        <w:bottom w:val="none" w:sz="0" w:space="0" w:color="auto"/>
        <w:right w:val="none" w:sz="0" w:space="0" w:color="auto"/>
      </w:divBdr>
      <w:divsChild>
        <w:div w:id="1108818300">
          <w:marLeft w:val="0"/>
          <w:marRight w:val="0"/>
          <w:marTop w:val="0"/>
          <w:marBottom w:val="0"/>
          <w:divBdr>
            <w:top w:val="none" w:sz="0" w:space="0" w:color="auto"/>
            <w:left w:val="none" w:sz="0" w:space="0" w:color="auto"/>
            <w:bottom w:val="none" w:sz="0" w:space="0" w:color="auto"/>
            <w:right w:val="none" w:sz="0" w:space="0" w:color="auto"/>
          </w:divBdr>
          <w:divsChild>
            <w:div w:id="1207911697">
              <w:marLeft w:val="0"/>
              <w:marRight w:val="0"/>
              <w:marTop w:val="0"/>
              <w:marBottom w:val="0"/>
              <w:divBdr>
                <w:top w:val="none" w:sz="0" w:space="0" w:color="auto"/>
                <w:left w:val="none" w:sz="0" w:space="0" w:color="auto"/>
                <w:bottom w:val="none" w:sz="0" w:space="0" w:color="auto"/>
                <w:right w:val="none" w:sz="0" w:space="0" w:color="auto"/>
              </w:divBdr>
              <w:divsChild>
                <w:div w:id="891842176">
                  <w:marLeft w:val="0"/>
                  <w:marRight w:val="0"/>
                  <w:marTop w:val="0"/>
                  <w:marBottom w:val="0"/>
                  <w:divBdr>
                    <w:top w:val="none" w:sz="0" w:space="0" w:color="auto"/>
                    <w:left w:val="none" w:sz="0" w:space="0" w:color="auto"/>
                    <w:bottom w:val="none" w:sz="0" w:space="0" w:color="auto"/>
                    <w:right w:val="none" w:sz="0" w:space="0" w:color="auto"/>
                  </w:divBdr>
                  <w:divsChild>
                    <w:div w:id="1903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90728">
      <w:bodyDiv w:val="1"/>
      <w:marLeft w:val="0"/>
      <w:marRight w:val="0"/>
      <w:marTop w:val="0"/>
      <w:marBottom w:val="0"/>
      <w:divBdr>
        <w:top w:val="none" w:sz="0" w:space="0" w:color="auto"/>
        <w:left w:val="none" w:sz="0" w:space="0" w:color="auto"/>
        <w:bottom w:val="none" w:sz="0" w:space="0" w:color="auto"/>
        <w:right w:val="none" w:sz="0" w:space="0" w:color="auto"/>
      </w:divBdr>
      <w:divsChild>
        <w:div w:id="570509279">
          <w:marLeft w:val="0"/>
          <w:marRight w:val="0"/>
          <w:marTop w:val="0"/>
          <w:marBottom w:val="0"/>
          <w:divBdr>
            <w:top w:val="none" w:sz="0" w:space="0" w:color="auto"/>
            <w:left w:val="none" w:sz="0" w:space="0" w:color="auto"/>
            <w:bottom w:val="none" w:sz="0" w:space="0" w:color="auto"/>
            <w:right w:val="none" w:sz="0" w:space="0" w:color="auto"/>
          </w:divBdr>
          <w:divsChild>
            <w:div w:id="465201364">
              <w:marLeft w:val="0"/>
              <w:marRight w:val="0"/>
              <w:marTop w:val="0"/>
              <w:marBottom w:val="0"/>
              <w:divBdr>
                <w:top w:val="none" w:sz="0" w:space="0" w:color="auto"/>
                <w:left w:val="none" w:sz="0" w:space="0" w:color="auto"/>
                <w:bottom w:val="none" w:sz="0" w:space="0" w:color="auto"/>
                <w:right w:val="none" w:sz="0" w:space="0" w:color="auto"/>
              </w:divBdr>
              <w:divsChild>
                <w:div w:id="1149784471">
                  <w:marLeft w:val="0"/>
                  <w:marRight w:val="0"/>
                  <w:marTop w:val="0"/>
                  <w:marBottom w:val="0"/>
                  <w:divBdr>
                    <w:top w:val="none" w:sz="0" w:space="0" w:color="auto"/>
                    <w:left w:val="none" w:sz="0" w:space="0" w:color="auto"/>
                    <w:bottom w:val="none" w:sz="0" w:space="0" w:color="auto"/>
                    <w:right w:val="none" w:sz="0" w:space="0" w:color="auto"/>
                  </w:divBdr>
                  <w:divsChild>
                    <w:div w:id="9736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4179">
      <w:bodyDiv w:val="1"/>
      <w:marLeft w:val="0"/>
      <w:marRight w:val="0"/>
      <w:marTop w:val="0"/>
      <w:marBottom w:val="0"/>
      <w:divBdr>
        <w:top w:val="none" w:sz="0" w:space="0" w:color="auto"/>
        <w:left w:val="none" w:sz="0" w:space="0" w:color="auto"/>
        <w:bottom w:val="none" w:sz="0" w:space="0" w:color="auto"/>
        <w:right w:val="none" w:sz="0" w:space="0" w:color="auto"/>
      </w:divBdr>
      <w:divsChild>
        <w:div w:id="1967349572">
          <w:marLeft w:val="0"/>
          <w:marRight w:val="0"/>
          <w:marTop w:val="0"/>
          <w:marBottom w:val="0"/>
          <w:divBdr>
            <w:top w:val="none" w:sz="0" w:space="0" w:color="auto"/>
            <w:left w:val="none" w:sz="0" w:space="0" w:color="auto"/>
            <w:bottom w:val="none" w:sz="0" w:space="0" w:color="auto"/>
            <w:right w:val="none" w:sz="0" w:space="0" w:color="auto"/>
          </w:divBdr>
          <w:divsChild>
            <w:div w:id="745689340">
              <w:marLeft w:val="0"/>
              <w:marRight w:val="0"/>
              <w:marTop w:val="0"/>
              <w:marBottom w:val="0"/>
              <w:divBdr>
                <w:top w:val="none" w:sz="0" w:space="0" w:color="auto"/>
                <w:left w:val="none" w:sz="0" w:space="0" w:color="auto"/>
                <w:bottom w:val="none" w:sz="0" w:space="0" w:color="auto"/>
                <w:right w:val="none" w:sz="0" w:space="0" w:color="auto"/>
              </w:divBdr>
              <w:divsChild>
                <w:div w:id="945498653">
                  <w:marLeft w:val="0"/>
                  <w:marRight w:val="0"/>
                  <w:marTop w:val="0"/>
                  <w:marBottom w:val="0"/>
                  <w:divBdr>
                    <w:top w:val="none" w:sz="0" w:space="0" w:color="auto"/>
                    <w:left w:val="none" w:sz="0" w:space="0" w:color="auto"/>
                    <w:bottom w:val="none" w:sz="0" w:space="0" w:color="auto"/>
                    <w:right w:val="none" w:sz="0" w:space="0" w:color="auto"/>
                  </w:divBdr>
                  <w:divsChild>
                    <w:div w:id="7892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02908">
      <w:bodyDiv w:val="1"/>
      <w:marLeft w:val="0"/>
      <w:marRight w:val="0"/>
      <w:marTop w:val="0"/>
      <w:marBottom w:val="0"/>
      <w:divBdr>
        <w:top w:val="none" w:sz="0" w:space="0" w:color="auto"/>
        <w:left w:val="none" w:sz="0" w:space="0" w:color="auto"/>
        <w:bottom w:val="none" w:sz="0" w:space="0" w:color="auto"/>
        <w:right w:val="none" w:sz="0" w:space="0" w:color="auto"/>
      </w:divBdr>
      <w:divsChild>
        <w:div w:id="270941468">
          <w:marLeft w:val="0"/>
          <w:marRight w:val="0"/>
          <w:marTop w:val="0"/>
          <w:marBottom w:val="0"/>
          <w:divBdr>
            <w:top w:val="none" w:sz="0" w:space="0" w:color="auto"/>
            <w:left w:val="none" w:sz="0" w:space="0" w:color="auto"/>
            <w:bottom w:val="none" w:sz="0" w:space="0" w:color="auto"/>
            <w:right w:val="none" w:sz="0" w:space="0" w:color="auto"/>
          </w:divBdr>
          <w:divsChild>
            <w:div w:id="722602315">
              <w:marLeft w:val="0"/>
              <w:marRight w:val="0"/>
              <w:marTop w:val="0"/>
              <w:marBottom w:val="0"/>
              <w:divBdr>
                <w:top w:val="none" w:sz="0" w:space="0" w:color="auto"/>
                <w:left w:val="none" w:sz="0" w:space="0" w:color="auto"/>
                <w:bottom w:val="none" w:sz="0" w:space="0" w:color="auto"/>
                <w:right w:val="none" w:sz="0" w:space="0" w:color="auto"/>
              </w:divBdr>
              <w:divsChild>
                <w:div w:id="1720324432">
                  <w:marLeft w:val="0"/>
                  <w:marRight w:val="0"/>
                  <w:marTop w:val="0"/>
                  <w:marBottom w:val="0"/>
                  <w:divBdr>
                    <w:top w:val="none" w:sz="0" w:space="0" w:color="auto"/>
                    <w:left w:val="none" w:sz="0" w:space="0" w:color="auto"/>
                    <w:bottom w:val="none" w:sz="0" w:space="0" w:color="auto"/>
                    <w:right w:val="none" w:sz="0" w:space="0" w:color="auto"/>
                  </w:divBdr>
                  <w:divsChild>
                    <w:div w:id="3252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3750">
      <w:bodyDiv w:val="1"/>
      <w:marLeft w:val="0"/>
      <w:marRight w:val="0"/>
      <w:marTop w:val="0"/>
      <w:marBottom w:val="0"/>
      <w:divBdr>
        <w:top w:val="none" w:sz="0" w:space="0" w:color="auto"/>
        <w:left w:val="none" w:sz="0" w:space="0" w:color="auto"/>
        <w:bottom w:val="none" w:sz="0" w:space="0" w:color="auto"/>
        <w:right w:val="none" w:sz="0" w:space="0" w:color="auto"/>
      </w:divBdr>
      <w:divsChild>
        <w:div w:id="1263957790">
          <w:marLeft w:val="0"/>
          <w:marRight w:val="0"/>
          <w:marTop w:val="0"/>
          <w:marBottom w:val="0"/>
          <w:divBdr>
            <w:top w:val="none" w:sz="0" w:space="0" w:color="auto"/>
            <w:left w:val="none" w:sz="0" w:space="0" w:color="auto"/>
            <w:bottom w:val="none" w:sz="0" w:space="0" w:color="auto"/>
            <w:right w:val="none" w:sz="0" w:space="0" w:color="auto"/>
          </w:divBdr>
          <w:divsChild>
            <w:div w:id="16125601">
              <w:marLeft w:val="0"/>
              <w:marRight w:val="0"/>
              <w:marTop w:val="0"/>
              <w:marBottom w:val="0"/>
              <w:divBdr>
                <w:top w:val="none" w:sz="0" w:space="0" w:color="auto"/>
                <w:left w:val="none" w:sz="0" w:space="0" w:color="auto"/>
                <w:bottom w:val="none" w:sz="0" w:space="0" w:color="auto"/>
                <w:right w:val="none" w:sz="0" w:space="0" w:color="auto"/>
              </w:divBdr>
              <w:divsChild>
                <w:div w:id="1394621314">
                  <w:marLeft w:val="0"/>
                  <w:marRight w:val="0"/>
                  <w:marTop w:val="0"/>
                  <w:marBottom w:val="0"/>
                  <w:divBdr>
                    <w:top w:val="none" w:sz="0" w:space="0" w:color="auto"/>
                    <w:left w:val="none" w:sz="0" w:space="0" w:color="auto"/>
                    <w:bottom w:val="none" w:sz="0" w:space="0" w:color="auto"/>
                    <w:right w:val="none" w:sz="0" w:space="0" w:color="auto"/>
                  </w:divBdr>
                  <w:divsChild>
                    <w:div w:id="14399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17961">
      <w:bodyDiv w:val="1"/>
      <w:marLeft w:val="0"/>
      <w:marRight w:val="0"/>
      <w:marTop w:val="0"/>
      <w:marBottom w:val="0"/>
      <w:divBdr>
        <w:top w:val="none" w:sz="0" w:space="0" w:color="auto"/>
        <w:left w:val="none" w:sz="0" w:space="0" w:color="auto"/>
        <w:bottom w:val="none" w:sz="0" w:space="0" w:color="auto"/>
        <w:right w:val="none" w:sz="0" w:space="0" w:color="auto"/>
      </w:divBdr>
      <w:divsChild>
        <w:div w:id="1648319257">
          <w:marLeft w:val="0"/>
          <w:marRight w:val="0"/>
          <w:marTop w:val="0"/>
          <w:marBottom w:val="0"/>
          <w:divBdr>
            <w:top w:val="none" w:sz="0" w:space="0" w:color="auto"/>
            <w:left w:val="none" w:sz="0" w:space="0" w:color="auto"/>
            <w:bottom w:val="none" w:sz="0" w:space="0" w:color="auto"/>
            <w:right w:val="none" w:sz="0" w:space="0" w:color="auto"/>
          </w:divBdr>
          <w:divsChild>
            <w:div w:id="1247837312">
              <w:marLeft w:val="0"/>
              <w:marRight w:val="0"/>
              <w:marTop w:val="0"/>
              <w:marBottom w:val="0"/>
              <w:divBdr>
                <w:top w:val="none" w:sz="0" w:space="0" w:color="auto"/>
                <w:left w:val="none" w:sz="0" w:space="0" w:color="auto"/>
                <w:bottom w:val="none" w:sz="0" w:space="0" w:color="auto"/>
                <w:right w:val="none" w:sz="0" w:space="0" w:color="auto"/>
              </w:divBdr>
              <w:divsChild>
                <w:div w:id="74982478">
                  <w:marLeft w:val="0"/>
                  <w:marRight w:val="0"/>
                  <w:marTop w:val="0"/>
                  <w:marBottom w:val="0"/>
                  <w:divBdr>
                    <w:top w:val="none" w:sz="0" w:space="0" w:color="auto"/>
                    <w:left w:val="none" w:sz="0" w:space="0" w:color="auto"/>
                    <w:bottom w:val="none" w:sz="0" w:space="0" w:color="auto"/>
                    <w:right w:val="none" w:sz="0" w:space="0" w:color="auto"/>
                  </w:divBdr>
                  <w:divsChild>
                    <w:div w:id="15803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24475">
      <w:bodyDiv w:val="1"/>
      <w:marLeft w:val="0"/>
      <w:marRight w:val="0"/>
      <w:marTop w:val="0"/>
      <w:marBottom w:val="0"/>
      <w:divBdr>
        <w:top w:val="none" w:sz="0" w:space="0" w:color="auto"/>
        <w:left w:val="none" w:sz="0" w:space="0" w:color="auto"/>
        <w:bottom w:val="none" w:sz="0" w:space="0" w:color="auto"/>
        <w:right w:val="none" w:sz="0" w:space="0" w:color="auto"/>
      </w:divBdr>
      <w:divsChild>
        <w:div w:id="1224289029">
          <w:marLeft w:val="0"/>
          <w:marRight w:val="0"/>
          <w:marTop w:val="0"/>
          <w:marBottom w:val="0"/>
          <w:divBdr>
            <w:top w:val="none" w:sz="0" w:space="0" w:color="auto"/>
            <w:left w:val="none" w:sz="0" w:space="0" w:color="auto"/>
            <w:bottom w:val="none" w:sz="0" w:space="0" w:color="auto"/>
            <w:right w:val="none" w:sz="0" w:space="0" w:color="auto"/>
          </w:divBdr>
          <w:divsChild>
            <w:div w:id="1119378994">
              <w:marLeft w:val="0"/>
              <w:marRight w:val="0"/>
              <w:marTop w:val="0"/>
              <w:marBottom w:val="0"/>
              <w:divBdr>
                <w:top w:val="none" w:sz="0" w:space="0" w:color="auto"/>
                <w:left w:val="none" w:sz="0" w:space="0" w:color="auto"/>
                <w:bottom w:val="none" w:sz="0" w:space="0" w:color="auto"/>
                <w:right w:val="none" w:sz="0" w:space="0" w:color="auto"/>
              </w:divBdr>
              <w:divsChild>
                <w:div w:id="199435932">
                  <w:marLeft w:val="0"/>
                  <w:marRight w:val="0"/>
                  <w:marTop w:val="0"/>
                  <w:marBottom w:val="0"/>
                  <w:divBdr>
                    <w:top w:val="none" w:sz="0" w:space="0" w:color="auto"/>
                    <w:left w:val="none" w:sz="0" w:space="0" w:color="auto"/>
                    <w:bottom w:val="none" w:sz="0" w:space="0" w:color="auto"/>
                    <w:right w:val="none" w:sz="0" w:space="0" w:color="auto"/>
                  </w:divBdr>
                  <w:divsChild>
                    <w:div w:id="5819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4697</Words>
  <Characters>25370</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ΚΑΝΤΗ</dc:creator>
  <cp:keywords/>
  <dc:description/>
  <cp:lastModifiedBy>ΛΑΜΠΡΙΝΗ ΖΗΣΗ</cp:lastModifiedBy>
  <cp:revision>2</cp:revision>
  <cp:lastPrinted>2025-10-21T06:07:00Z</cp:lastPrinted>
  <dcterms:created xsi:type="dcterms:W3CDTF">2025-10-30T09:36:00Z</dcterms:created>
  <dcterms:modified xsi:type="dcterms:W3CDTF">2025-10-30T09:36:00Z</dcterms:modified>
</cp:coreProperties>
</file>